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</w:t>
      </w:r>
      <w:r w:rsidRPr="00A809A7">
        <w:rPr>
          <w:rFonts w:ascii="Times New Roman" w:hAnsi="Times New Roman" w:cs="Times New Roman"/>
          <w:b/>
          <w:noProof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1" style="width:36pt;height:42pt;visibility:visible">
            <v:imagedata r:id="rId6" o:title=""/>
          </v:shape>
        </w:pict>
      </w:r>
    </w:p>
    <w:p w:rsidR="00391FD3" w:rsidRPr="00CC2958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391FD3" w:rsidRPr="001D40F1" w:rsidRDefault="00391FD3" w:rsidP="001D40F1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1D40F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>АДМИНИСТРАЦИЯ ОРЛОВСКОГО РАЙОНА</w:t>
      </w:r>
    </w:p>
    <w:p w:rsidR="00391FD3" w:rsidRPr="001D40F1" w:rsidRDefault="00391FD3" w:rsidP="001D40F1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1D40F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                                       КИРОВСКОЙ  ОБЛАСТИ</w:t>
      </w:r>
    </w:p>
    <w:p w:rsidR="00391FD3" w:rsidRPr="00CC2958" w:rsidRDefault="00391FD3" w:rsidP="001D40F1">
      <w:pPr>
        <w:widowControl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391FD3" w:rsidRDefault="00391FD3" w:rsidP="001D40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91FD3" w:rsidRPr="00CC2958" w:rsidRDefault="00391FD3" w:rsidP="001D40F1">
      <w:pPr>
        <w:widowControl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391FD3" w:rsidRPr="001D40F1" w:rsidRDefault="00391FD3" w:rsidP="0030500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09.02.2021</w:t>
      </w: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№ 79-п</w:t>
      </w:r>
    </w:p>
    <w:p w:rsidR="00391FD3" w:rsidRPr="00CC2958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>г. Орлов</w:t>
      </w:r>
    </w:p>
    <w:p w:rsidR="00391FD3" w:rsidRPr="00CC2958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№ 6-П от 13.01.2021 года</w:t>
      </w:r>
    </w:p>
    <w:p w:rsidR="00391FD3" w:rsidRPr="00CC2958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               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Орловского района Кировской области   ПОСТАНОВЛЯЕТ:</w:t>
      </w:r>
    </w:p>
    <w:p w:rsidR="00391FD3" w:rsidRDefault="00391FD3" w:rsidP="00894B6A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6A">
        <w:rPr>
          <w:rFonts w:ascii="Times New Roman" w:hAnsi="Times New Roman" w:cs="Times New Roman"/>
          <w:color w:val="auto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Орловского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4B6A">
        <w:rPr>
          <w:rFonts w:ascii="Times New Roman" w:hAnsi="Times New Roman" w:cs="Times New Roman"/>
          <w:color w:val="auto"/>
          <w:sz w:val="28"/>
          <w:szCs w:val="28"/>
        </w:rPr>
        <w:t>от 13.01.2021 № 6-П «Об установлении стандартов уровня платежа населения на 2021 год на услуги теплоснабжения для организаций коммунального комплекса для потребителей, проживающих на территории Орловского сельского поселения»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утвердив стандарты</w:t>
      </w:r>
      <w:r w:rsidRPr="00894B6A">
        <w:rPr>
          <w:rFonts w:ascii="Times New Roman" w:hAnsi="Times New Roman" w:cs="Times New Roman"/>
          <w:color w:val="auto"/>
          <w:sz w:val="28"/>
          <w:szCs w:val="28"/>
        </w:rPr>
        <w:t xml:space="preserve"> уровня платежа населения на 2021 год на услуги теплоснабжения для организаций коммунального комплекса для потребителей, проживающих на территории Орловского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новой редакции согласно приложению.</w:t>
      </w:r>
    </w:p>
    <w:p w:rsidR="00391FD3" w:rsidRPr="00894B6A" w:rsidRDefault="00391FD3" w:rsidP="00CC2958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6A">
        <w:rPr>
          <w:rFonts w:ascii="Times New Roman" w:hAnsi="Times New Roman" w:cs="Times New Roman"/>
          <w:color w:val="auto"/>
          <w:sz w:val="28"/>
          <w:szCs w:val="28"/>
        </w:rPr>
        <w:t>2. Опубликовать  постановление  в  Информационном  бюллетене  органов  местного  самоуправления  муниципального  образования Орловский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4B6A">
        <w:rPr>
          <w:rFonts w:ascii="Times New Roman" w:hAnsi="Times New Roman" w:cs="Times New Roman"/>
          <w:color w:val="auto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Кировской области</w:t>
      </w:r>
      <w:r w:rsidRPr="00894B6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91FD3" w:rsidRPr="001D40F1" w:rsidRDefault="00391FD3" w:rsidP="00894B6A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B6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  вступает  в  силу  </w:t>
      </w:r>
      <w:r>
        <w:rPr>
          <w:rFonts w:ascii="Times New Roman" w:hAnsi="Times New Roman" w:cs="Times New Roman"/>
          <w:color w:val="auto"/>
          <w:sz w:val="28"/>
          <w:szCs w:val="28"/>
        </w:rPr>
        <w:t>с момента опубликования</w:t>
      </w:r>
      <w:r w:rsidRPr="001D40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1FD3" w:rsidRPr="00CC2958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52"/>
          <w:szCs w:val="52"/>
        </w:rPr>
      </w:pPr>
    </w:p>
    <w:p w:rsidR="00391FD3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391FD3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Орловского района           С.С.Целищев</w:t>
      </w: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391FD3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</w:p>
    <w:p w:rsidR="00391FD3" w:rsidRDefault="00391FD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391FD3" w:rsidRDefault="00391FD3" w:rsidP="00CC2958">
      <w:pPr>
        <w:widowControl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391FD3" w:rsidRPr="001D40F1" w:rsidRDefault="00391FD3" w:rsidP="00CC2958">
      <w:pPr>
        <w:widowControl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Default="00391FD3" w:rsidP="00CC2958">
      <w:pPr>
        <w:widowControl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УТВЕРЖДЕНО  </w:t>
      </w:r>
    </w:p>
    <w:p w:rsidR="00391FD3" w:rsidRPr="001D40F1" w:rsidRDefault="00391FD3" w:rsidP="00CC2958">
      <w:pPr>
        <w:widowControl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 Орловского района Кировской области</w:t>
      </w:r>
    </w:p>
    <w:p w:rsidR="00391FD3" w:rsidRPr="001D40F1" w:rsidRDefault="00391FD3" w:rsidP="00CC2958">
      <w:pPr>
        <w:widowControl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09.02.2021  № 79-п</w:t>
      </w:r>
    </w:p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>Стандарты</w:t>
      </w: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40F1">
        <w:rPr>
          <w:rFonts w:ascii="Times New Roman" w:hAnsi="Times New Roman" w:cs="Times New Roman"/>
          <w:color w:val="auto"/>
          <w:sz w:val="28"/>
          <w:szCs w:val="28"/>
        </w:rPr>
        <w:t>уровня  платежа  населения  на  2021 год  на  услуги  теплоснабжения  для  организаций  коммунального  комплекса    для  потребителей,  проживающих на  территории  Орловского  сельского  поселения</w:t>
      </w: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694"/>
        <w:gridCol w:w="1275"/>
        <w:gridCol w:w="1276"/>
        <w:gridCol w:w="1276"/>
        <w:gridCol w:w="1134"/>
      </w:tblGrid>
      <w:tr w:rsidR="00391FD3" w:rsidRPr="001D40F1" w:rsidTr="00CC2958">
        <w:tc>
          <w:tcPr>
            <w:tcW w:w="3261" w:type="dxa"/>
            <w:vMerge w:val="restart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организаций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коммунального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комплекса</w:t>
            </w:r>
          </w:p>
        </w:tc>
        <w:tc>
          <w:tcPr>
            <w:tcW w:w="2694" w:type="dxa"/>
            <w:vMerge w:val="restart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благоустройства  домов</w:t>
            </w:r>
          </w:p>
        </w:tc>
        <w:tc>
          <w:tcPr>
            <w:tcW w:w="2551" w:type="dxa"/>
            <w:gridSpan w:val="2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410" w:type="dxa"/>
            <w:gridSpan w:val="2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391FD3" w:rsidRPr="001D40F1" w:rsidTr="00CC2958">
        <w:tc>
          <w:tcPr>
            <w:tcW w:w="3261" w:type="dxa"/>
            <w:vMerge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6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276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134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0F1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391FD3" w:rsidRPr="001D40F1" w:rsidTr="00CC2958">
        <w:tc>
          <w:tcPr>
            <w:tcW w:w="3261" w:type="dxa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ЖКХ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«Орловское»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котельные:  дер.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Цепели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                       с.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Чудиново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 xml:space="preserve">3х этажные, 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>до 1999г. постройки</w:t>
            </w:r>
          </w:p>
        </w:tc>
        <w:tc>
          <w:tcPr>
            <w:tcW w:w="1275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99,1434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2753,41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100,00</w:t>
            </w:r>
          </w:p>
        </w:tc>
        <w:tc>
          <w:tcPr>
            <w:tcW w:w="113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2777,20</w:t>
            </w:r>
          </w:p>
        </w:tc>
      </w:tr>
      <w:tr w:rsidR="00391FD3" w:rsidRPr="001D40F1" w:rsidTr="00CC2958">
        <w:tc>
          <w:tcPr>
            <w:tcW w:w="3261" w:type="dxa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ЖКХ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"Орловское"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котельные:  дер.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1D40F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Кузнецы</w:t>
            </w:r>
          </w:p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с.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D40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Колково</w:t>
            </w:r>
          </w:p>
        </w:tc>
        <w:tc>
          <w:tcPr>
            <w:tcW w:w="269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 и жилые дома 1этажные,  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>до  1999г. постройки</w:t>
            </w:r>
          </w:p>
        </w:tc>
        <w:tc>
          <w:tcPr>
            <w:tcW w:w="1275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91,6186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2283,32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91,7799</w:t>
            </w:r>
          </w:p>
        </w:tc>
        <w:tc>
          <w:tcPr>
            <w:tcW w:w="113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2379,21</w:t>
            </w:r>
          </w:p>
        </w:tc>
      </w:tr>
      <w:tr w:rsidR="00391FD3" w:rsidRPr="001D40F1" w:rsidTr="00CC2958">
        <w:tc>
          <w:tcPr>
            <w:tcW w:w="3261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и жилые дома 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 xml:space="preserve">3х этажные, </w:t>
            </w:r>
          </w:p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sz w:val="28"/>
                <w:szCs w:val="28"/>
              </w:rPr>
              <w:t>до  1999г. постройки</w:t>
            </w:r>
          </w:p>
        </w:tc>
        <w:tc>
          <w:tcPr>
            <w:tcW w:w="1275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91,6186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2283,32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91,7799</w:t>
            </w:r>
          </w:p>
        </w:tc>
        <w:tc>
          <w:tcPr>
            <w:tcW w:w="113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2379,21</w:t>
            </w:r>
          </w:p>
        </w:tc>
      </w:tr>
      <w:tr w:rsidR="00391FD3" w:rsidRPr="001D40F1" w:rsidTr="00CC2958">
        <w:tc>
          <w:tcPr>
            <w:tcW w:w="3261" w:type="dxa"/>
          </w:tcPr>
          <w:p w:rsidR="00391FD3" w:rsidRPr="001D40F1" w:rsidRDefault="00391FD3" w:rsidP="001D40F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D4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Дома  с  ОПУ </w:t>
            </w:r>
          </w:p>
        </w:tc>
        <w:tc>
          <w:tcPr>
            <w:tcW w:w="1275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color w:val="auto"/>
              </w:rPr>
              <w:t>91,6186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40F1">
              <w:rPr>
                <w:rFonts w:ascii="Times New Roman" w:hAnsi="Times New Roman" w:cs="Times New Roman"/>
                <w:b/>
                <w:bCs/>
                <w:color w:val="auto"/>
              </w:rPr>
              <w:t>2283,32</w:t>
            </w:r>
          </w:p>
        </w:tc>
        <w:tc>
          <w:tcPr>
            <w:tcW w:w="1276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91,7799</w:t>
            </w:r>
          </w:p>
        </w:tc>
        <w:tc>
          <w:tcPr>
            <w:tcW w:w="1134" w:type="dxa"/>
            <w:vAlign w:val="center"/>
          </w:tcPr>
          <w:p w:rsidR="00391FD3" w:rsidRPr="001D40F1" w:rsidRDefault="00391FD3" w:rsidP="001D40F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2379,21</w:t>
            </w:r>
          </w:p>
        </w:tc>
      </w:tr>
    </w:tbl>
    <w:p w:rsidR="00391FD3" w:rsidRPr="001D40F1" w:rsidRDefault="00391FD3" w:rsidP="001D40F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1FD3" w:rsidRPr="001D40F1" w:rsidRDefault="00391FD3" w:rsidP="001D40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91FD3" w:rsidRPr="001D40F1" w:rsidSect="00340083">
      <w:type w:val="continuous"/>
      <w:pgSz w:w="11909" w:h="16834"/>
      <w:pgMar w:top="893" w:right="427" w:bottom="568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D3" w:rsidRDefault="00391FD3">
      <w:r>
        <w:separator/>
      </w:r>
    </w:p>
  </w:endnote>
  <w:endnote w:type="continuationSeparator" w:id="0">
    <w:p w:rsidR="00391FD3" w:rsidRDefault="0039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D3" w:rsidRDefault="00391FD3"/>
  </w:footnote>
  <w:footnote w:type="continuationSeparator" w:id="0">
    <w:p w:rsidR="00391FD3" w:rsidRDefault="00391F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6F"/>
    <w:rsid w:val="00066EC7"/>
    <w:rsid w:val="000820BF"/>
    <w:rsid w:val="000A1D17"/>
    <w:rsid w:val="000C3BC2"/>
    <w:rsid w:val="000E400C"/>
    <w:rsid w:val="000E4740"/>
    <w:rsid w:val="001317A4"/>
    <w:rsid w:val="001B4A64"/>
    <w:rsid w:val="001D24E2"/>
    <w:rsid w:val="001D40F1"/>
    <w:rsid w:val="001F2A79"/>
    <w:rsid w:val="00203D57"/>
    <w:rsid w:val="00222DFD"/>
    <w:rsid w:val="002269D2"/>
    <w:rsid w:val="0027426F"/>
    <w:rsid w:val="00282F43"/>
    <w:rsid w:val="00300808"/>
    <w:rsid w:val="00305008"/>
    <w:rsid w:val="00324268"/>
    <w:rsid w:val="00340083"/>
    <w:rsid w:val="00346420"/>
    <w:rsid w:val="00353ED7"/>
    <w:rsid w:val="00375B38"/>
    <w:rsid w:val="0037747C"/>
    <w:rsid w:val="00391FD3"/>
    <w:rsid w:val="003C765D"/>
    <w:rsid w:val="00411EA4"/>
    <w:rsid w:val="00426AD5"/>
    <w:rsid w:val="005D5EA4"/>
    <w:rsid w:val="0061259D"/>
    <w:rsid w:val="00615C2C"/>
    <w:rsid w:val="0062778A"/>
    <w:rsid w:val="00652A92"/>
    <w:rsid w:val="007D1560"/>
    <w:rsid w:val="007E1087"/>
    <w:rsid w:val="008435A6"/>
    <w:rsid w:val="008535FD"/>
    <w:rsid w:val="008864A1"/>
    <w:rsid w:val="00894B6A"/>
    <w:rsid w:val="008C79BF"/>
    <w:rsid w:val="008D2FFD"/>
    <w:rsid w:val="00984297"/>
    <w:rsid w:val="009B42FF"/>
    <w:rsid w:val="009C4BB4"/>
    <w:rsid w:val="009F37FC"/>
    <w:rsid w:val="00A21E5A"/>
    <w:rsid w:val="00A809A7"/>
    <w:rsid w:val="00AF33B2"/>
    <w:rsid w:val="00B40FDF"/>
    <w:rsid w:val="00B538DA"/>
    <w:rsid w:val="00BB2F13"/>
    <w:rsid w:val="00BB3158"/>
    <w:rsid w:val="00BC6AFC"/>
    <w:rsid w:val="00CC2958"/>
    <w:rsid w:val="00CD66AA"/>
    <w:rsid w:val="00D663CE"/>
    <w:rsid w:val="00D67927"/>
    <w:rsid w:val="00D802D5"/>
    <w:rsid w:val="00D850C4"/>
    <w:rsid w:val="00DC099C"/>
    <w:rsid w:val="00DF7E41"/>
    <w:rsid w:val="00EA6F19"/>
    <w:rsid w:val="00EA7E9A"/>
    <w:rsid w:val="00EB1BDF"/>
    <w:rsid w:val="00EB48A9"/>
    <w:rsid w:val="00EC7B4F"/>
    <w:rsid w:val="00EE1B1B"/>
    <w:rsid w:val="00F41FB6"/>
    <w:rsid w:val="00F52917"/>
    <w:rsid w:val="00F7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7927"/>
    <w:rPr>
      <w:rFonts w:cs="Times New Roman"/>
      <w:color w:val="AFA497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67927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D67927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1">
    <w:name w:val="Основной текст1"/>
    <w:basedOn w:val="a"/>
    <w:uiPriority w:val="99"/>
    <w:rsid w:val="00D67927"/>
    <w:rPr>
      <w:color w:val="000000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"/>
    <w:uiPriority w:val="99"/>
    <w:rsid w:val="00D67927"/>
    <w:rPr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D67927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D67927"/>
    <w:pPr>
      <w:shd w:val="clear" w:color="auto" w:fill="FFFFFF"/>
      <w:spacing w:line="216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a1">
    <w:name w:val="Подпись к таблице"/>
    <w:basedOn w:val="Normal"/>
    <w:link w:val="a0"/>
    <w:uiPriority w:val="99"/>
    <w:rsid w:val="00D67927"/>
    <w:pPr>
      <w:shd w:val="clear" w:color="auto" w:fill="FFFFFF"/>
      <w:spacing w:line="288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EC7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3C765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5D"/>
    <w:rPr>
      <w:rFonts w:ascii="Tahoma" w:hAnsi="Tahoma" w:cs="Tahoma"/>
      <w:color w:val="000000"/>
      <w:sz w:val="16"/>
      <w:szCs w:val="16"/>
    </w:rPr>
  </w:style>
  <w:style w:type="paragraph" w:customStyle="1" w:styleId="3">
    <w:name w:val="Знак3"/>
    <w:basedOn w:val="Normal"/>
    <w:uiPriority w:val="99"/>
    <w:rsid w:val="00D802D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EB48A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1D40F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9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446</Words>
  <Characters>2545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2021-02-08T08:50:00Z</cp:lastPrinted>
  <dcterms:created xsi:type="dcterms:W3CDTF">2021-02-08T12:35:00Z</dcterms:created>
  <dcterms:modified xsi:type="dcterms:W3CDTF">2021-02-10T11:39:00Z</dcterms:modified>
</cp:coreProperties>
</file>