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C6" w:rsidRDefault="00C909E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C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22C6" w:rsidRDefault="00C909E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CC5">
        <w:rPr>
          <w:rFonts w:ascii="Times New Roman" w:hAnsi="Times New Roman" w:cs="Times New Roman"/>
          <w:b/>
          <w:sz w:val="28"/>
          <w:szCs w:val="28"/>
        </w:rPr>
        <w:t>ОРЛОВСКОГО  ГОРОДСКОГО ПОСЕЛЕНИЯ</w:t>
      </w:r>
    </w:p>
    <w:p w:rsidR="00C822C6" w:rsidRDefault="00C909E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CC5">
        <w:rPr>
          <w:rFonts w:ascii="Times New Roman" w:hAnsi="Times New Roman" w:cs="Times New Roman"/>
          <w:b/>
          <w:sz w:val="28"/>
          <w:szCs w:val="28"/>
        </w:rPr>
        <w:t>ОРЛОВСКОГО РАЙОНА  КИРОВСКОЙ ОБЛАСТИ</w:t>
      </w:r>
    </w:p>
    <w:p w:rsidR="00C822C6" w:rsidRDefault="00C822C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2C6" w:rsidRDefault="00C909E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CC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22C6" w:rsidRDefault="00E2138D">
      <w:pPr>
        <w:tabs>
          <w:tab w:val="left" w:pos="3383"/>
          <w:tab w:val="center" w:pos="4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24.02.2022</w:t>
      </w:r>
      <w:r w:rsidR="00C909E2" w:rsidRPr="007F1CC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9E2" w:rsidRPr="007F1CC5">
        <w:rPr>
          <w:rFonts w:ascii="Times New Roman" w:hAnsi="Times New Roman" w:cs="Times New Roman"/>
          <w:sz w:val="28"/>
          <w:szCs w:val="28"/>
        </w:rPr>
        <w:t xml:space="preserve">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909E2" w:rsidRPr="007F1CC5">
        <w:rPr>
          <w:rFonts w:ascii="Times New Roman" w:hAnsi="Times New Roman" w:cs="Times New Roman"/>
          <w:sz w:val="28"/>
          <w:szCs w:val="28"/>
        </w:rPr>
        <w:t>-П</w:t>
      </w:r>
    </w:p>
    <w:p w:rsidR="00C822C6" w:rsidRDefault="00C909E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1CC5">
        <w:rPr>
          <w:rFonts w:ascii="Times New Roman" w:hAnsi="Times New Roman" w:cs="Times New Roman"/>
          <w:sz w:val="28"/>
          <w:szCs w:val="28"/>
        </w:rPr>
        <w:t>г. Орлов</w:t>
      </w:r>
    </w:p>
    <w:p w:rsidR="00C822C6" w:rsidRDefault="00C822C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22C6" w:rsidRDefault="00C90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CC5">
        <w:rPr>
          <w:rFonts w:ascii="Times New Roman" w:hAnsi="Times New Roman" w:cs="Times New Roman"/>
          <w:b/>
          <w:sz w:val="28"/>
          <w:szCs w:val="28"/>
        </w:rPr>
        <w:t>Об утверждении Программы профилактики рисков</w:t>
      </w:r>
    </w:p>
    <w:p w:rsidR="00C822C6" w:rsidRDefault="00C90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CC5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 ценностям</w:t>
      </w:r>
    </w:p>
    <w:p w:rsidR="00C822C6" w:rsidRDefault="00C90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CC5">
        <w:rPr>
          <w:rFonts w:ascii="Times New Roman" w:hAnsi="Times New Roman" w:cs="Times New Roman"/>
          <w:b/>
          <w:sz w:val="28"/>
          <w:szCs w:val="28"/>
        </w:rPr>
        <w:t>в рамках осуществления муниципального земельного контроля</w:t>
      </w:r>
    </w:p>
    <w:p w:rsidR="00C822C6" w:rsidRDefault="00C909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CC5">
        <w:rPr>
          <w:rFonts w:ascii="Times New Roman" w:hAnsi="Times New Roman" w:cs="Times New Roman"/>
          <w:b/>
          <w:sz w:val="28"/>
          <w:szCs w:val="28"/>
        </w:rPr>
        <w:t>на территории </w:t>
      </w:r>
      <w:r w:rsidRPr="007F1CC5">
        <w:rPr>
          <w:rFonts w:ascii="Times New Roman" w:hAnsi="Times New Roman" w:cs="Times New Roman"/>
          <w:b/>
          <w:color w:val="000000"/>
          <w:sz w:val="28"/>
          <w:szCs w:val="28"/>
        </w:rPr>
        <w:t>населенного пункта муниципального образования Орловское городское поселение Орловского района Кировской области</w:t>
      </w:r>
    </w:p>
    <w:p w:rsidR="00C822C6" w:rsidRDefault="00C90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CC5">
        <w:rPr>
          <w:rFonts w:ascii="Times New Roman" w:hAnsi="Times New Roman" w:cs="Times New Roman"/>
          <w:b/>
          <w:sz w:val="28"/>
          <w:szCs w:val="28"/>
        </w:rPr>
        <w:t> на 2022 год</w:t>
      </w:r>
    </w:p>
    <w:p w:rsidR="00C822C6" w:rsidRDefault="00C822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2C6" w:rsidRDefault="00C909E2">
      <w:pPr>
        <w:pStyle w:val="1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sz w:val="28"/>
          <w:szCs w:val="28"/>
        </w:rPr>
      </w:pPr>
      <w:r w:rsidRPr="007F1CC5">
        <w:rPr>
          <w:rFonts w:ascii="Times New Roman" w:hAnsi="Times New Roman"/>
          <w:sz w:val="28"/>
          <w:szCs w:val="28"/>
          <w:shd w:val="clear" w:color="auto" w:fill="FFFFFF"/>
        </w:rPr>
        <w:tab/>
        <w:t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7F1CC5">
        <w:rPr>
          <w:rFonts w:ascii="Times New Roman" w:hAnsi="Times New Roman"/>
          <w:color w:val="000000"/>
          <w:sz w:val="28"/>
          <w:szCs w:val="28"/>
        </w:rPr>
        <w:t xml:space="preserve"> Уставом муниципального образования Орловское городское поселение Орловского района Кировской области </w:t>
      </w:r>
      <w:r w:rsidRPr="007F1CC5">
        <w:rPr>
          <w:rFonts w:ascii="Times New Roman" w:hAnsi="Times New Roman"/>
          <w:b/>
          <w:sz w:val="28"/>
          <w:szCs w:val="28"/>
          <w:shd w:val="clear" w:color="auto" w:fill="FFFFFF"/>
        </w:rPr>
        <w:t>ПОСТАНОВЛЯЕТ</w:t>
      </w:r>
      <w:r w:rsidRPr="007F1CC5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7F1CC5">
        <w:rPr>
          <w:rFonts w:ascii="Times New Roman" w:hAnsi="Times New Roman"/>
          <w:sz w:val="28"/>
          <w:szCs w:val="28"/>
        </w:rPr>
        <w:tab/>
      </w:r>
    </w:p>
    <w:p w:rsidR="00C822C6" w:rsidRDefault="00C909E2">
      <w:pPr>
        <w:pStyle w:val="1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F1CC5">
        <w:rPr>
          <w:rFonts w:ascii="Times New Roman" w:hAnsi="Times New Roman"/>
          <w:sz w:val="28"/>
          <w:szCs w:val="28"/>
        </w:rPr>
        <w:t xml:space="preserve">         </w:t>
      </w:r>
      <w:r w:rsidRPr="007F1CC5">
        <w:rPr>
          <w:rFonts w:ascii="Times New Roman" w:hAnsi="Times New Roman"/>
          <w:color w:val="000000"/>
          <w:sz w:val="28"/>
          <w:szCs w:val="28"/>
        </w:rPr>
        <w:t>1</w:t>
      </w:r>
      <w:r w:rsidRPr="007F1CC5">
        <w:rPr>
          <w:rFonts w:ascii="Times New Roman" w:hAnsi="Times New Roman"/>
          <w:sz w:val="28"/>
          <w:szCs w:val="28"/>
        </w:rPr>
        <w:t>.</w:t>
      </w:r>
      <w:r w:rsidRPr="007F1CC5"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Программу профилактики рисков причинения вреда (ущерба) охраняемым законом ценностям в рамках осуществления муниципального земельного контроля </w:t>
      </w:r>
      <w:r w:rsidRPr="007F1CC5">
        <w:rPr>
          <w:rFonts w:ascii="Times New Roman" w:hAnsi="Times New Roman"/>
          <w:sz w:val="28"/>
          <w:szCs w:val="28"/>
        </w:rPr>
        <w:t>на территории </w:t>
      </w:r>
      <w:r w:rsidRPr="007F1CC5">
        <w:rPr>
          <w:rFonts w:ascii="Times New Roman" w:hAnsi="Times New Roman"/>
          <w:color w:val="000000"/>
          <w:sz w:val="28"/>
          <w:szCs w:val="28"/>
        </w:rPr>
        <w:t>населенного пункта муниципального образования Орловское городское поселение Орловского района Кировской области</w:t>
      </w:r>
      <w:r w:rsidRPr="007F1CC5">
        <w:rPr>
          <w:rFonts w:ascii="Times New Roman" w:hAnsi="Times New Roman"/>
          <w:sz w:val="28"/>
          <w:szCs w:val="28"/>
          <w:shd w:val="clear" w:color="auto" w:fill="FFFFFF"/>
        </w:rPr>
        <w:t> на 2022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F1CC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 </w:t>
      </w:r>
      <w:hyperlink r:id="rId6" w:history="1">
        <w:r w:rsidRPr="007F1C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согласно приложению</w:t>
        </w:r>
      </w:hyperlink>
      <w:r w:rsidRPr="007F1CC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.</w:t>
      </w:r>
      <w:r w:rsidRPr="007F1CC5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</w:p>
    <w:p w:rsidR="00C822C6" w:rsidRDefault="00C909E2">
      <w:pPr>
        <w:pStyle w:val="1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</w:t>
      </w:r>
      <w:r w:rsidRPr="007F1CC5">
        <w:rPr>
          <w:rFonts w:ascii="Times New Roman" w:hAnsi="Times New Roman"/>
          <w:sz w:val="28"/>
          <w:szCs w:val="28"/>
        </w:rPr>
        <w:t xml:space="preserve">публиковать постановление в информационном бюллетене </w:t>
      </w:r>
      <w:proofErr w:type="gramStart"/>
      <w:r w:rsidRPr="007F1CC5">
        <w:rPr>
          <w:rFonts w:ascii="Times New Roman" w:hAnsi="Times New Roman"/>
          <w:sz w:val="28"/>
          <w:szCs w:val="28"/>
        </w:rPr>
        <w:t>органов местного самоуправления Орловского городского поселения Орловского района Кировской области</w:t>
      </w:r>
      <w:proofErr w:type="gramEnd"/>
      <w:r w:rsidRPr="007F1CC5">
        <w:rPr>
          <w:rFonts w:ascii="Times New Roman" w:hAnsi="Times New Roman"/>
          <w:sz w:val="28"/>
          <w:szCs w:val="28"/>
        </w:rPr>
        <w:t>.</w:t>
      </w:r>
    </w:p>
    <w:p w:rsidR="00C822C6" w:rsidRDefault="00C909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C5">
        <w:rPr>
          <w:rFonts w:ascii="Times New Roman" w:hAnsi="Times New Roman" w:cs="Times New Roman"/>
          <w:sz w:val="28"/>
          <w:szCs w:val="28"/>
        </w:rPr>
        <w:t>3.Постановление вступает в силу с момента подписания.</w:t>
      </w:r>
    </w:p>
    <w:p w:rsidR="00C822C6" w:rsidRDefault="00C82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2C6" w:rsidRDefault="00C9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822C6" w:rsidRDefault="00C9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городского поселения                                               С.Н. Популькин</w:t>
      </w:r>
    </w:p>
    <w:p w:rsidR="00C822C6" w:rsidRDefault="00C822C6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822C6" w:rsidRDefault="00C909E2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ПОДГОТОВЛЕНО</w:t>
      </w:r>
    </w:p>
    <w:p w:rsidR="00C822C6" w:rsidRDefault="00C90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CC5">
        <w:rPr>
          <w:rFonts w:ascii="Times New Roman" w:hAnsi="Times New Roman" w:cs="Times New Roman"/>
          <w:sz w:val="28"/>
          <w:szCs w:val="28"/>
        </w:rPr>
        <w:t xml:space="preserve">Главный специалист по имуществу </w:t>
      </w:r>
    </w:p>
    <w:p w:rsidR="00C822C6" w:rsidRDefault="00C90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CC5">
        <w:rPr>
          <w:rFonts w:ascii="Times New Roman" w:hAnsi="Times New Roman" w:cs="Times New Roman"/>
          <w:sz w:val="28"/>
          <w:szCs w:val="28"/>
        </w:rPr>
        <w:t xml:space="preserve">и земельным ресурсам                                                                   М.Н. </w:t>
      </w:r>
      <w:proofErr w:type="spellStart"/>
      <w:r w:rsidRPr="007F1CC5">
        <w:rPr>
          <w:rFonts w:ascii="Times New Roman" w:hAnsi="Times New Roman" w:cs="Times New Roman"/>
          <w:sz w:val="28"/>
          <w:szCs w:val="28"/>
        </w:rPr>
        <w:t>Нелюбина</w:t>
      </w:r>
      <w:proofErr w:type="spellEnd"/>
    </w:p>
    <w:p w:rsidR="00C822C6" w:rsidRDefault="00C82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2C6" w:rsidRDefault="00C90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CC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822C6" w:rsidRDefault="00C90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C822C6" w:rsidRDefault="00C9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вопросам, юрисконсульт                                                  Е. В. Буркова</w:t>
      </w:r>
    </w:p>
    <w:p w:rsidR="00C822C6" w:rsidRDefault="00C909E2">
      <w:pPr>
        <w:pStyle w:val="ConsPlusNormal"/>
        <w:ind w:left="5783" w:firstLine="0"/>
        <w:rPr>
          <w:szCs w:val="24"/>
        </w:rPr>
      </w:pPr>
      <w:r>
        <w:rPr>
          <w:color w:val="000000"/>
          <w:szCs w:val="24"/>
        </w:rPr>
        <w:lastRenderedPageBreak/>
        <w:t xml:space="preserve">Приложение </w:t>
      </w:r>
    </w:p>
    <w:p w:rsidR="00C822C6" w:rsidRDefault="00C909E2">
      <w:pPr>
        <w:spacing w:after="0" w:line="240" w:lineRule="auto"/>
        <w:ind w:left="5783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38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C822C6" w:rsidRDefault="00C909E2">
      <w:pPr>
        <w:spacing w:after="0" w:line="240" w:lineRule="auto"/>
        <w:ind w:left="57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Орловского городского поселения</w:t>
      </w:r>
    </w:p>
    <w:p w:rsidR="00C822C6" w:rsidRDefault="00C909E2">
      <w:pPr>
        <w:tabs>
          <w:tab w:val="left" w:pos="200"/>
        </w:tabs>
        <w:spacing w:after="0" w:line="240" w:lineRule="auto"/>
        <w:ind w:left="578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2138D">
        <w:rPr>
          <w:rFonts w:ascii="Times New Roman" w:hAnsi="Times New Roman" w:cs="Times New Roman"/>
          <w:color w:val="000000"/>
          <w:sz w:val="24"/>
          <w:szCs w:val="24"/>
        </w:rPr>
        <w:t>24.02.2022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E2138D">
        <w:rPr>
          <w:rFonts w:ascii="Times New Roman" w:hAnsi="Times New Roman" w:cs="Times New Roman"/>
          <w:color w:val="000000"/>
          <w:sz w:val="24"/>
          <w:szCs w:val="24"/>
        </w:rPr>
        <w:t>30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C822C6" w:rsidRDefault="00C822C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2C6" w:rsidRDefault="00C909E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822C6" w:rsidRDefault="00C90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рамках осуществления муниципального земельного контроля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территории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населенного пункта муниципального образования Орловское городское поселение Орловского района Кировской области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на 2022 год</w:t>
      </w:r>
    </w:p>
    <w:p w:rsidR="00C822C6" w:rsidRDefault="00C82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2C6" w:rsidRDefault="00C90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822C6" w:rsidRDefault="00C82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Орловского городского поселения Кировской области (далее – контрольный орган) </w:t>
      </w:r>
      <w:r>
        <w:rPr>
          <w:rFonts w:ascii="Times New Roman" w:hAnsi="Times New Roman"/>
          <w:sz w:val="28"/>
        </w:rPr>
        <w:t xml:space="preserve">осуществляет муниципальный земельный контроль в границах Орловского городского поселения </w:t>
      </w:r>
      <w:r>
        <w:rPr>
          <w:rFonts w:ascii="Times New Roman" w:hAnsi="Times New Roman"/>
          <w:sz w:val="28"/>
          <w:szCs w:val="28"/>
        </w:rPr>
        <w:t>Кировской области.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Предметом муниципального контроля является </w:t>
      </w:r>
      <w:r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C822C6" w:rsidRDefault="00C909E2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Объектами муниципального земельного контроля являются: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объекты земельных отношений, </w:t>
      </w:r>
      <w:r>
        <w:rPr>
          <w:rFonts w:ascii="Times New Roman" w:hAnsi="Times New Roman"/>
          <w:sz w:val="28"/>
          <w:szCs w:val="28"/>
        </w:rPr>
        <w:t>расположенные на территории Орловского городского поселения Кировской области</w:t>
      </w:r>
      <w:r>
        <w:rPr>
          <w:rFonts w:ascii="Times New Roman" w:hAnsi="Times New Roman"/>
          <w:sz w:val="28"/>
        </w:rPr>
        <w:t>.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муниципального земельного контроля, в первую очередь, является выявление нерационально и неэффективно используемых земель, а также обеспечение соблюдения организациями (независимо от их организационно-правовых форм и форм собственности), их руководителями, должностными лицами, а также гражданами земельного законодательства, требований охраны и использования земель. При этом основной задачей является выявление земельных участков, используемых без документов, с целью привлечения землепользователей к оплате за пользование землей.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C5">
        <w:rPr>
          <w:rFonts w:ascii="Times New Roman" w:hAnsi="Times New Roman" w:cs="Times New Roman"/>
          <w:sz w:val="28"/>
          <w:szCs w:val="28"/>
        </w:rPr>
        <w:t xml:space="preserve">В 2021 году муниципальный земельный контроль проводился в форме плановых (выездных и документарных) проверок на основании разработанных и утвержденных контрольным органом ежегодных планов. 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C5">
        <w:rPr>
          <w:rFonts w:ascii="Times New Roman" w:hAnsi="Times New Roman" w:cs="Times New Roman"/>
          <w:sz w:val="28"/>
          <w:szCs w:val="28"/>
        </w:rPr>
        <w:t xml:space="preserve">Все плановые проверки в отношении юридических лиц и индивидуальных предпринимателей согласовывались с органами земельного надзора и органами прокуратуры, но в целях предупреждения распространения </w:t>
      </w:r>
      <w:proofErr w:type="spellStart"/>
      <w:r w:rsidRPr="007F1C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F1CC5">
        <w:rPr>
          <w:rFonts w:ascii="Times New Roman" w:hAnsi="Times New Roman" w:cs="Times New Roman"/>
          <w:sz w:val="28"/>
          <w:szCs w:val="28"/>
        </w:rPr>
        <w:t xml:space="preserve"> инфекции (COVID-19) и в связи с ограничительными мероприятиями (карантином) на территории Кировской области все запланированные и утверждённые на 2021 год проверочные мероприятия были отменены. 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E2">
        <w:rPr>
          <w:rFonts w:ascii="Times New Roman" w:hAnsi="Times New Roman" w:cs="Times New Roman"/>
          <w:sz w:val="28"/>
          <w:szCs w:val="28"/>
        </w:rPr>
        <w:t>Плановые и внеплановые проверки в рамках муниципального земельного контроля в отношении юридических лиц и индивидуальных предпринимателей, физических лиц в 2021 году не проводились, заявления от контрольного органа в органы прокуратуры о согласовании проведения внеплановых проверок не направлялись.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2022 год администрацией Орловского городского поселения Кировской области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земельного контроля запланированы не были. 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97">
        <w:rPr>
          <w:rFonts w:ascii="Times New Roman" w:hAnsi="Times New Roman" w:cs="Times New Roman"/>
          <w:sz w:val="28"/>
          <w:szCs w:val="28"/>
        </w:rPr>
        <w:t>В 2021 году заявления от контрольного 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2C6" w:rsidRDefault="00C9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 органом проводится методическая, разъяснительная и профилактическая работа по предотвращению нарушений требований земельного законодательства путем:</w:t>
      </w:r>
    </w:p>
    <w:p w:rsidR="00C822C6" w:rsidRDefault="00C9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информирования юридических лиц, индивидуальных предпринимателей по вопросам соблюдения обязательных требований в сфере муниципального земельного контроля.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обеспечения регулярного (не реже одного раза в год) обобщения практики осуществления в сфере муниципального земельного контроля </w:t>
      </w:r>
      <w:r w:rsidRPr="00BE7A97">
        <w:rPr>
          <w:rFonts w:ascii="Times New Roman" w:hAnsi="Times New Roman" w:cs="Times New Roman"/>
          <w:sz w:val="28"/>
          <w:szCs w:val="28"/>
        </w:rPr>
        <w:t>и размещения в сети «Интернет» соответствующих обобщений</w:t>
      </w:r>
      <w:r>
        <w:rPr>
          <w:rFonts w:ascii="Times New Roman" w:hAnsi="Times New Roman" w:cs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Типичными нарушениями являются:</w:t>
      </w:r>
    </w:p>
    <w:p w:rsidR="00C822C6" w:rsidRDefault="00C909E2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нарушения, выражающиеся в использовании земельных участков не по целевому назначению в соответствии с их принадлежностью к той или иной категории земель и (или) разрешенным использованием; несоблюдении требований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C822C6" w:rsidRDefault="00C909E2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нарушения, выражающиеся в самовольном занятии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данный земельный участок;</w:t>
      </w:r>
    </w:p>
    <w:p w:rsidR="00C822C6" w:rsidRDefault="00C909E2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неиспользование земельных участков.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обязательных требований, выявляемых контрольным органом, являются: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Низкие знания контролируемых лиц требований,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 с правообладателями таких земельных участков на основе сведений о результатах проведения государственного земельного надзора, указывающих на неиспользование такого земельного участка по целевому назначению или использование с нарушением законодательства Российской Федерации, полученных от органа, осуществляющего государственную регистрацию прав на недвижимое имущество и сделок с ним.</w:t>
      </w:r>
      <w:proofErr w:type="gramEnd"/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Самовольное занятие земельного участка или его части, в том числе использование земельного участка лицом, не имеющим прав на такой земельный участок.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данной проблемы являются своевременное проведение кадастровых работ, использование сведений, содержащихся в Едином государственном реестре недвижимости (ЕГРН), выявление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используемых без документов, и побуждение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лиц, являющихся собственниками объектов недвижимости, расположенных на земельных участках, к своевременному оформлению прав на соответствующие земельные участки.</w:t>
      </w:r>
    </w:p>
    <w:p w:rsidR="00C822C6" w:rsidRDefault="00C8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22C6" w:rsidRDefault="00C90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C822C6" w:rsidRDefault="00C822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2C6" w:rsidRDefault="00C909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нарушения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контролируемыми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прозрачности системы муниципального земельного контроля;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контролируемых лиц к добросовестному поведению.</w:t>
      </w:r>
    </w:p>
    <w:p w:rsidR="00C822C6" w:rsidRDefault="00C909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кадрового состава контрольного органа;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C822C6" w:rsidRDefault="00C8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2C6" w:rsidRDefault="00C90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C822C6" w:rsidRDefault="00C822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на 2022 год приведен в таблице:</w:t>
      </w:r>
    </w:p>
    <w:p w:rsidR="00C822C6" w:rsidRDefault="00C90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994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4846"/>
        <w:gridCol w:w="2190"/>
        <w:gridCol w:w="2190"/>
      </w:tblGrid>
      <w:tr w:rsidR="00C822C6">
        <w:trPr>
          <w:jc w:val="center"/>
        </w:trPr>
        <w:tc>
          <w:tcPr>
            <w:tcW w:w="720" w:type="dxa"/>
            <w:vAlign w:val="center"/>
          </w:tcPr>
          <w:p w:rsidR="00C822C6" w:rsidRDefault="00C90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46" w:type="dxa"/>
            <w:vAlign w:val="center"/>
          </w:tcPr>
          <w:p w:rsidR="00C822C6" w:rsidRDefault="00C90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Профилактические мероприятия</w:t>
            </w:r>
          </w:p>
          <w:p w:rsidR="00C822C6" w:rsidRDefault="00C822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center"/>
          </w:tcPr>
          <w:p w:rsidR="00C822C6" w:rsidRDefault="00C90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(периодичность) проведения</w:t>
            </w:r>
          </w:p>
        </w:tc>
        <w:tc>
          <w:tcPr>
            <w:tcW w:w="2190" w:type="dxa"/>
          </w:tcPr>
          <w:p w:rsidR="00C822C6" w:rsidRDefault="00C90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лицо, ответственное за реализацию мероприятий</w:t>
            </w:r>
          </w:p>
        </w:tc>
      </w:tr>
      <w:tr w:rsidR="00C822C6">
        <w:trPr>
          <w:jc w:val="center"/>
        </w:trPr>
        <w:tc>
          <w:tcPr>
            <w:tcW w:w="720" w:type="dxa"/>
          </w:tcPr>
          <w:p w:rsidR="00C822C6" w:rsidRDefault="00C90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</w:tcPr>
          <w:p w:rsidR="00C822C6" w:rsidRDefault="00C9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A97">
              <w:rPr>
                <w:rFonts w:ascii="Times New Roman" w:hAnsi="Times New Roman" w:cs="Times New Roman"/>
              </w:rPr>
              <w:t xml:space="preserve">Информирование посредством размещения сведений, </w:t>
            </w:r>
            <w:r w:rsidRPr="00BE7A97">
              <w:rPr>
                <w:rFonts w:ascii="Times New Roman" w:hAnsi="Times New Roman"/>
              </w:rPr>
              <w:t>предусмотренных частью 3 статьи 46 Федерального закона от 31.07.2020 № 248-ФЗ,</w:t>
            </w:r>
            <w:r w:rsidRPr="00BE7A97">
              <w:rPr>
                <w:rFonts w:ascii="Times New Roman" w:hAnsi="Times New Roman" w:cs="Times New Roman"/>
              </w:rPr>
              <w:t xml:space="preserve"> на официальном сайте органов местного самоуправления Орловского района Кировской области,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190" w:type="dxa"/>
          </w:tcPr>
          <w:p w:rsidR="00C822C6" w:rsidRDefault="00C90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A97">
              <w:rPr>
                <w:rFonts w:ascii="Times New Roman" w:hAnsi="Times New Roman" w:cs="Times New Roman"/>
              </w:rPr>
              <w:t>В течение 2022 года</w:t>
            </w:r>
          </w:p>
        </w:tc>
        <w:tc>
          <w:tcPr>
            <w:tcW w:w="2190" w:type="dxa"/>
            <w:vMerge w:val="restart"/>
          </w:tcPr>
          <w:p w:rsidR="00C822C6" w:rsidRDefault="00C90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</w:t>
            </w:r>
            <w:r w:rsidRPr="00BE7A97">
              <w:rPr>
                <w:rFonts w:ascii="Times New Roman" w:hAnsi="Times New Roman" w:cs="Times New Roman"/>
              </w:rPr>
              <w:t>пециалист по имуществу и земельным ресурсам</w:t>
            </w:r>
          </w:p>
        </w:tc>
      </w:tr>
      <w:tr w:rsidR="00C822C6">
        <w:trPr>
          <w:jc w:val="center"/>
        </w:trPr>
        <w:tc>
          <w:tcPr>
            <w:tcW w:w="720" w:type="dxa"/>
          </w:tcPr>
          <w:p w:rsidR="00C822C6" w:rsidRDefault="00C90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</w:tcPr>
          <w:p w:rsidR="00C822C6" w:rsidRDefault="00C909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предостережения о недопустимости нарушения обязательных требований</w:t>
            </w:r>
          </w:p>
          <w:p w:rsidR="00C822C6" w:rsidRDefault="00C82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C822C6" w:rsidRDefault="00C90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2022 года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90" w:type="dxa"/>
            <w:vMerge/>
          </w:tcPr>
          <w:p w:rsidR="00C822C6" w:rsidRDefault="00C822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2C6">
        <w:trPr>
          <w:jc w:val="center"/>
        </w:trPr>
        <w:tc>
          <w:tcPr>
            <w:tcW w:w="720" w:type="dxa"/>
          </w:tcPr>
          <w:p w:rsidR="00C822C6" w:rsidRDefault="00C90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</w:tcPr>
          <w:p w:rsidR="00C822C6" w:rsidRDefault="00C909E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земельного контроля: </w:t>
            </w:r>
          </w:p>
          <w:p w:rsidR="00C822C6" w:rsidRDefault="00C909E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1) порядка проведения контрольных мероприятий;</w:t>
            </w:r>
          </w:p>
          <w:p w:rsidR="00C822C6" w:rsidRDefault="00C909E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2) периодичности проведения контрольных мероприятий;</w:t>
            </w:r>
          </w:p>
          <w:p w:rsidR="00C822C6" w:rsidRDefault="00C909E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3) порядка принятия решений по итогам контрольных мероприятий;</w:t>
            </w:r>
          </w:p>
          <w:p w:rsidR="00C822C6" w:rsidRDefault="00C909E2">
            <w:pPr>
              <w:pStyle w:val="ConsPlusNormal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4) порядка обжалования решений контрольного органа.</w:t>
            </w:r>
          </w:p>
          <w:p w:rsidR="00C822C6" w:rsidRDefault="00C909E2">
            <w:pPr>
              <w:pStyle w:val="ConsPlusNormal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Ответственное должностное лицо осуществляют консультирование контролируемых лиц и их представителей:</w:t>
            </w:r>
          </w:p>
          <w:p w:rsidR="00C822C6" w:rsidRDefault="00C909E2">
            <w:pPr>
              <w:pStyle w:val="ConsPlusNormal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1) в виде устных разъяснений по телефону, на личном приеме либо в ходе проведения профилактического мероприятия, контрольного мероприятия;</w:t>
            </w:r>
          </w:p>
          <w:p w:rsidR="00C822C6" w:rsidRDefault="00C909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BE7A97">
              <w:rPr>
                <w:rFonts w:ascii="Times New Roman" w:hAnsi="Times New Roman" w:cs="Times New Roman"/>
              </w:rPr>
              <w:t xml:space="preserve">посредством размещения на официальном сайте </w:t>
            </w:r>
            <w:proofErr w:type="gramStart"/>
            <w:r w:rsidRPr="00BE7A97">
              <w:rPr>
                <w:rFonts w:ascii="Times New Roman" w:hAnsi="Times New Roman" w:cs="Times New Roman"/>
              </w:rPr>
              <w:t>органов местного самоуправления Орловского района Кировской области письменного разъяснения</w:t>
            </w:r>
            <w:proofErr w:type="gramEnd"/>
            <w:r w:rsidRPr="00BE7A97">
              <w:rPr>
                <w:rFonts w:ascii="Times New Roman" w:hAnsi="Times New Roman" w:cs="Times New Roman"/>
              </w:rPr>
              <w:t xml:space="preserve">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190" w:type="dxa"/>
          </w:tcPr>
          <w:p w:rsidR="00C822C6" w:rsidRDefault="00C90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2022 года в случае поступления соответствующих обращений</w:t>
            </w:r>
          </w:p>
        </w:tc>
        <w:tc>
          <w:tcPr>
            <w:tcW w:w="2190" w:type="dxa"/>
            <w:vMerge/>
          </w:tcPr>
          <w:p w:rsidR="00C822C6" w:rsidRDefault="00C822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2C6" w:rsidRDefault="00C909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Показатели результативности и эффективности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C822C6" w:rsidRDefault="00C8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программы профилактики рисков причинения вреда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контролируемыми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 вреда (ущерба) охраняемым законом ценностям при проведении профилактических мероприятий.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результативности программы профилактики рисков причинения вреда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выявленных нарушений требований земельного законодательства, ед.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мероприятий, ед.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программы профилактики рисков причинения вреда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снижение количества выявленных при проведении контрольных мероприятий нарушений требований земельного законодательства.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доля профилактических мероприятий в объеме контрольных мероприятий, %.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822C6" w:rsidRDefault="00C9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C822C6" w:rsidRDefault="00C822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190F"/>
    <w:multiLevelType w:val="hybridMultilevel"/>
    <w:tmpl w:val="641E36A2"/>
    <w:lvl w:ilvl="0" w:tplc="F788B5F0">
      <w:start w:val="1"/>
      <w:numFmt w:val="decimal"/>
      <w:lvlText w:val="%1)"/>
      <w:lvlJc w:val="left"/>
      <w:pPr>
        <w:ind w:left="13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97" w:hanging="360"/>
      </w:pPr>
    </w:lvl>
    <w:lvl w:ilvl="2" w:tplc="0419001B">
      <w:start w:val="1"/>
      <w:numFmt w:val="lowerRoman"/>
      <w:lvlText w:val="%3."/>
      <w:lvlJc w:val="right"/>
      <w:pPr>
        <w:ind w:left="2817" w:hanging="180"/>
      </w:pPr>
    </w:lvl>
    <w:lvl w:ilvl="3" w:tplc="0419000F">
      <w:start w:val="1"/>
      <w:numFmt w:val="decimal"/>
      <w:lvlText w:val="%4."/>
      <w:lvlJc w:val="left"/>
      <w:pPr>
        <w:ind w:left="3537" w:hanging="360"/>
      </w:pPr>
    </w:lvl>
    <w:lvl w:ilvl="4" w:tplc="04190019">
      <w:start w:val="1"/>
      <w:numFmt w:val="lowerLetter"/>
      <w:lvlText w:val="%5."/>
      <w:lvlJc w:val="left"/>
      <w:pPr>
        <w:ind w:left="4257" w:hanging="360"/>
      </w:pPr>
    </w:lvl>
    <w:lvl w:ilvl="5" w:tplc="0419001B">
      <w:start w:val="1"/>
      <w:numFmt w:val="lowerRoman"/>
      <w:lvlText w:val="%6."/>
      <w:lvlJc w:val="right"/>
      <w:pPr>
        <w:ind w:left="4977" w:hanging="180"/>
      </w:pPr>
    </w:lvl>
    <w:lvl w:ilvl="6" w:tplc="0419000F">
      <w:start w:val="1"/>
      <w:numFmt w:val="decimal"/>
      <w:lvlText w:val="%7."/>
      <w:lvlJc w:val="left"/>
      <w:pPr>
        <w:ind w:left="5697" w:hanging="360"/>
      </w:pPr>
    </w:lvl>
    <w:lvl w:ilvl="7" w:tplc="04190019">
      <w:start w:val="1"/>
      <w:numFmt w:val="lowerLetter"/>
      <w:lvlText w:val="%8."/>
      <w:lvlJc w:val="left"/>
      <w:pPr>
        <w:ind w:left="6417" w:hanging="360"/>
      </w:pPr>
    </w:lvl>
    <w:lvl w:ilvl="8" w:tplc="0419001B">
      <w:start w:val="1"/>
      <w:numFmt w:val="lowerRoman"/>
      <w:lvlText w:val="%9."/>
      <w:lvlJc w:val="right"/>
      <w:pPr>
        <w:ind w:left="7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22C6"/>
    <w:rsid w:val="00C822C6"/>
    <w:rsid w:val="00C909E2"/>
    <w:rsid w:val="00E2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SimSun"/>
      <w:sz w:val="22"/>
      <w:szCs w:val="22"/>
    </w:rPr>
  </w:style>
  <w:style w:type="paragraph" w:styleId="2">
    <w:name w:val="heading 2"/>
    <w:basedOn w:val="a"/>
    <w:next w:val="a"/>
    <w:link w:val="20"/>
    <w:pPr>
      <w:keepNext/>
      <w:keepLines/>
      <w:spacing w:before="40" w:after="0" w:line="259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1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link w:val="a3"/>
    <w:pPr>
      <w:spacing w:after="160" w:line="256" w:lineRule="auto"/>
      <w:ind w:left="720"/>
      <w:contextualSpacing/>
    </w:pPr>
    <w:rPr>
      <w:rFonts w:eastAsia="Calibri" w:cs="Times New Roman"/>
      <w:lang w:eastAsia="en-US"/>
    </w:rPr>
  </w:style>
  <w:style w:type="character" w:styleId="a4">
    <w:name w:val="Hyperlink"/>
    <w:basedOn w:val="a0"/>
    <w:rPr>
      <w:rFonts w:ascii="Calibri" w:eastAsia="SimSun" w:hAnsi="Calibri" w:cs="SimSun"/>
      <w:color w:val="0000FF"/>
      <w:sz w:val="22"/>
      <w:szCs w:val="22"/>
      <w:u w:val="single"/>
      <w:lang w:val="ru-RU" w:eastAsia="ru-RU" w:bidi="ar-SA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1">
    <w:name w:val="ConsPlusNormal1"/>
    <w:link w:val="ConsPlusNormal"/>
    <w:rPr>
      <w:rFonts w:ascii="Times New Roman" w:eastAsia="Times New Roman" w:hAnsi="Times New Roman" w:cs="Times New Roman"/>
      <w:sz w:val="24"/>
      <w:szCs w:val="22"/>
      <w:lang w:val="ru-RU" w:eastAsia="ru-RU" w:bidi="ar-SA"/>
    </w:rPr>
  </w:style>
  <w:style w:type="paragraph" w:customStyle="1" w:styleId="ConsPlusNormal">
    <w:name w:val="ConsPlusNormal"/>
    <w:link w:val="ConsPlusNormal1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20">
    <w:name w:val="Заголовок 2 Знак"/>
    <w:basedOn w:val="a0"/>
    <w:link w:val="2"/>
    <w:rPr>
      <w:rFonts w:ascii="Cambria" w:eastAsia="SimSun" w:hAnsi="Cambria" w:cs="SimSun"/>
      <w:color w:val="365F91"/>
      <w:sz w:val="26"/>
      <w:szCs w:val="26"/>
      <w:lang w:val="ru-RU" w:eastAsia="en-US" w:bidi="ar-SA"/>
    </w:rPr>
  </w:style>
  <w:style w:type="table" w:styleId="a5">
    <w:name w:val="Table Grid"/>
    <w:basedOn w:val="a1"/>
    <w:rPr>
      <w:rFonts w:eastAsia="Calibri" w:cs="SimSu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rPr>
      <w:rFonts w:ascii="Tahoma" w:eastAsia="SimSun" w:hAnsi="Tahoma" w:cs="Tahoma"/>
      <w:sz w:val="16"/>
      <w:szCs w:val="16"/>
      <w:lang w:val="ru-RU" w:eastAsia="ru-RU" w:bidi="ar-SA"/>
    </w:rPr>
  </w:style>
  <w:style w:type="paragraph" w:styleId="a7">
    <w:name w:val="Balloon Text"/>
    <w:basedOn w:val="a"/>
    <w:link w:val="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Без интервала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SimSun"/>
      <w:sz w:val="22"/>
      <w:szCs w:val="22"/>
    </w:rPr>
  </w:style>
  <w:style w:type="paragraph" w:styleId="2">
    <w:name w:val="heading 2"/>
    <w:basedOn w:val="a"/>
    <w:next w:val="a"/>
    <w:link w:val="20"/>
    <w:pPr>
      <w:keepNext/>
      <w:keepLines/>
      <w:spacing w:before="40" w:after="0" w:line="259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1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link w:val="a3"/>
    <w:pPr>
      <w:spacing w:after="160" w:line="256" w:lineRule="auto"/>
      <w:ind w:left="720"/>
      <w:contextualSpacing/>
    </w:pPr>
    <w:rPr>
      <w:rFonts w:eastAsia="Calibri" w:cs="Times New Roman"/>
      <w:lang w:eastAsia="en-US"/>
    </w:rPr>
  </w:style>
  <w:style w:type="character" w:styleId="a4">
    <w:name w:val="Hyperlink"/>
    <w:basedOn w:val="a0"/>
    <w:rPr>
      <w:rFonts w:ascii="Calibri" w:eastAsia="SimSun" w:hAnsi="Calibri" w:cs="SimSun"/>
      <w:color w:val="0000FF"/>
      <w:sz w:val="22"/>
      <w:szCs w:val="22"/>
      <w:u w:val="single"/>
      <w:lang w:val="ru-RU" w:eastAsia="ru-RU" w:bidi="ar-SA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1">
    <w:name w:val="ConsPlusNormal1"/>
    <w:link w:val="ConsPlusNormal"/>
    <w:rPr>
      <w:rFonts w:ascii="Times New Roman" w:eastAsia="Times New Roman" w:hAnsi="Times New Roman" w:cs="Times New Roman"/>
      <w:sz w:val="24"/>
      <w:szCs w:val="22"/>
      <w:lang w:val="ru-RU" w:eastAsia="ru-RU" w:bidi="ar-SA"/>
    </w:rPr>
  </w:style>
  <w:style w:type="paragraph" w:customStyle="1" w:styleId="ConsPlusNormal">
    <w:name w:val="ConsPlusNormal"/>
    <w:link w:val="ConsPlusNormal1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20">
    <w:name w:val="Заголовок 2 Знак"/>
    <w:basedOn w:val="a0"/>
    <w:link w:val="2"/>
    <w:rPr>
      <w:rFonts w:ascii="Cambria" w:eastAsia="SimSun" w:hAnsi="Cambria" w:cs="SimSun"/>
      <w:color w:val="365F91"/>
      <w:sz w:val="26"/>
      <w:szCs w:val="26"/>
      <w:lang w:val="ru-RU" w:eastAsia="en-US" w:bidi="ar-SA"/>
    </w:rPr>
  </w:style>
  <w:style w:type="table" w:styleId="a5">
    <w:name w:val="Table Grid"/>
    <w:basedOn w:val="a1"/>
    <w:rPr>
      <w:rFonts w:eastAsia="Calibri" w:cs="SimSu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rPr>
      <w:rFonts w:ascii="Tahoma" w:eastAsia="SimSun" w:hAnsi="Tahoma" w:cs="Tahoma"/>
      <w:sz w:val="16"/>
      <w:szCs w:val="16"/>
      <w:lang w:val="ru-RU" w:eastAsia="ru-RU" w:bidi="ar-SA"/>
    </w:rPr>
  </w:style>
  <w:style w:type="paragraph" w:styleId="a7">
    <w:name w:val="Balloon Text"/>
    <w:basedOn w:val="a"/>
    <w:link w:val="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Без интервала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43-dlcmpgf3a0adk.xn--p1ai/administration/document/21p-74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2147</Words>
  <Characters>12240</Characters>
  <Application>Microsoft Office Word</Application>
  <DocSecurity>0</DocSecurity>
  <Lines>102</Lines>
  <Paragraphs>28</Paragraphs>
  <ScaleCrop>false</ScaleCrop>
  <Company>Microsoft</Company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1</cp:lastModifiedBy>
  <cp:revision>4</cp:revision>
  <dcterms:created xsi:type="dcterms:W3CDTF">2022-02-23T20:33:00Z</dcterms:created>
  <dcterms:modified xsi:type="dcterms:W3CDTF">2022-02-24T11:48:00Z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65e3d49a85934ca985f9142c0f82fb3b</vt:lpwstr>
  </property>
</Properties>
</file>