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20" w:rsidRPr="005174C4" w:rsidRDefault="00995F20" w:rsidP="00995F20">
      <w:pPr>
        <w:ind w:hanging="360"/>
        <w:jc w:val="center"/>
        <w:rPr>
          <w:rFonts w:ascii="Times New Roman" w:hAnsi="Times New Roman" w:cs="Times New Roman"/>
          <w:b/>
          <w:sz w:val="26"/>
          <w:szCs w:val="26"/>
        </w:rPr>
      </w:pPr>
      <w:r w:rsidRPr="005174C4">
        <w:rPr>
          <w:rFonts w:ascii="Times New Roman" w:hAnsi="Times New Roman" w:cs="Times New Roman"/>
          <w:b/>
          <w:noProof/>
          <w:sz w:val="26"/>
          <w:szCs w:val="26"/>
          <w:lang w:eastAsia="ru-RU"/>
        </w:rPr>
        <w:drawing>
          <wp:inline distT="0" distB="0" distL="0" distR="0" wp14:anchorId="74B2DEF6" wp14:editId="0D20855F">
            <wp:extent cx="428625" cy="5238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995F20" w:rsidRPr="005174C4" w:rsidRDefault="00995F20" w:rsidP="00995F20">
      <w:pPr>
        <w:spacing w:after="0" w:line="240" w:lineRule="auto"/>
        <w:jc w:val="center"/>
        <w:rPr>
          <w:rFonts w:ascii="Times New Roman" w:hAnsi="Times New Roman" w:cs="Times New Roman"/>
          <w:b/>
          <w:sz w:val="26"/>
          <w:szCs w:val="26"/>
        </w:rPr>
      </w:pPr>
    </w:p>
    <w:p w:rsidR="00995F20" w:rsidRPr="005174C4" w:rsidRDefault="00995F20" w:rsidP="00995F20">
      <w:pPr>
        <w:spacing w:after="0" w:line="240" w:lineRule="auto"/>
        <w:jc w:val="center"/>
        <w:rPr>
          <w:rFonts w:ascii="Times New Roman" w:hAnsi="Times New Roman" w:cs="Times New Roman"/>
          <w:b/>
          <w:sz w:val="26"/>
          <w:szCs w:val="26"/>
        </w:rPr>
      </w:pPr>
      <w:r w:rsidRPr="005174C4">
        <w:rPr>
          <w:rFonts w:ascii="Times New Roman" w:hAnsi="Times New Roman" w:cs="Times New Roman"/>
          <w:b/>
          <w:sz w:val="26"/>
          <w:szCs w:val="26"/>
        </w:rPr>
        <w:t>АДМИНИСТРАЦИЯ ОРЛОВСКОГО РАЙОНА</w:t>
      </w:r>
    </w:p>
    <w:p w:rsidR="00995F20" w:rsidRPr="005174C4" w:rsidRDefault="00995F20" w:rsidP="00995F20">
      <w:pPr>
        <w:spacing w:after="0" w:line="240" w:lineRule="auto"/>
        <w:ind w:right="283"/>
        <w:jc w:val="center"/>
        <w:rPr>
          <w:rFonts w:ascii="Times New Roman" w:hAnsi="Times New Roman" w:cs="Times New Roman"/>
          <w:b/>
          <w:sz w:val="26"/>
          <w:szCs w:val="26"/>
        </w:rPr>
      </w:pPr>
      <w:r w:rsidRPr="005174C4">
        <w:rPr>
          <w:rFonts w:ascii="Times New Roman" w:hAnsi="Times New Roman" w:cs="Times New Roman"/>
          <w:b/>
          <w:sz w:val="26"/>
          <w:szCs w:val="26"/>
        </w:rPr>
        <w:t>КИРОВСКОЙ ОБЛАСТИ</w:t>
      </w:r>
    </w:p>
    <w:p w:rsidR="00995F20" w:rsidRPr="005174C4" w:rsidRDefault="00995F20" w:rsidP="00995F20">
      <w:pPr>
        <w:spacing w:after="0" w:line="240" w:lineRule="auto"/>
        <w:ind w:right="283"/>
        <w:jc w:val="center"/>
        <w:rPr>
          <w:rFonts w:ascii="Times New Roman" w:hAnsi="Times New Roman" w:cs="Times New Roman"/>
          <w:b/>
          <w:sz w:val="26"/>
          <w:szCs w:val="26"/>
        </w:rPr>
      </w:pPr>
    </w:p>
    <w:p w:rsidR="00995F20" w:rsidRPr="005174C4" w:rsidRDefault="00995F20" w:rsidP="00995F20">
      <w:pPr>
        <w:spacing w:after="0" w:line="240" w:lineRule="auto"/>
        <w:ind w:right="283"/>
        <w:jc w:val="center"/>
        <w:rPr>
          <w:rFonts w:ascii="Times New Roman" w:hAnsi="Times New Roman" w:cs="Times New Roman"/>
          <w:b/>
          <w:sz w:val="26"/>
          <w:szCs w:val="26"/>
        </w:rPr>
      </w:pPr>
      <w:r w:rsidRPr="005174C4">
        <w:rPr>
          <w:rFonts w:ascii="Times New Roman" w:hAnsi="Times New Roman" w:cs="Times New Roman"/>
          <w:b/>
          <w:sz w:val="26"/>
          <w:szCs w:val="26"/>
        </w:rPr>
        <w:t>ПОСТАНОВЛЕНИЕ</w:t>
      </w:r>
    </w:p>
    <w:p w:rsidR="00995F20" w:rsidRPr="005174C4" w:rsidRDefault="00995F20" w:rsidP="00995F20">
      <w:pPr>
        <w:spacing w:after="0" w:line="240" w:lineRule="auto"/>
        <w:jc w:val="both"/>
        <w:rPr>
          <w:rFonts w:ascii="Times New Roman" w:hAnsi="Times New Roman" w:cs="Times New Roman"/>
          <w:sz w:val="26"/>
          <w:szCs w:val="26"/>
        </w:rPr>
      </w:pPr>
    </w:p>
    <w:p w:rsidR="00995F20" w:rsidRPr="00C631F9" w:rsidRDefault="00C631F9" w:rsidP="00C631F9">
      <w:pPr>
        <w:spacing w:after="0" w:line="240" w:lineRule="auto"/>
        <w:jc w:val="center"/>
        <w:rPr>
          <w:rFonts w:ascii="Times New Roman" w:hAnsi="Times New Roman" w:cs="Times New Roman"/>
          <w:b/>
          <w:sz w:val="26"/>
          <w:szCs w:val="26"/>
        </w:rPr>
      </w:pPr>
      <w:r w:rsidRPr="00C631F9">
        <w:rPr>
          <w:rFonts w:ascii="Times New Roman" w:hAnsi="Times New Roman" w:cs="Times New Roman"/>
          <w:b/>
          <w:sz w:val="26"/>
          <w:szCs w:val="26"/>
        </w:rPr>
        <w:t>25.11.2022</w:t>
      </w:r>
      <w:r w:rsidR="00995F20" w:rsidRPr="00C631F9">
        <w:rPr>
          <w:rFonts w:ascii="Times New Roman" w:hAnsi="Times New Roman" w:cs="Times New Roman"/>
          <w:b/>
          <w:sz w:val="26"/>
          <w:szCs w:val="26"/>
        </w:rPr>
        <w:t xml:space="preserve">                            </w:t>
      </w:r>
      <w:r w:rsidR="00995F20" w:rsidRPr="00C631F9">
        <w:rPr>
          <w:rFonts w:ascii="Times New Roman" w:hAnsi="Times New Roman" w:cs="Times New Roman"/>
          <w:b/>
          <w:sz w:val="26"/>
          <w:szCs w:val="26"/>
        </w:rPr>
        <w:tab/>
      </w:r>
      <w:r w:rsidR="00995F20" w:rsidRPr="00C631F9">
        <w:rPr>
          <w:rFonts w:ascii="Times New Roman" w:hAnsi="Times New Roman" w:cs="Times New Roman"/>
          <w:b/>
          <w:sz w:val="26"/>
          <w:szCs w:val="26"/>
        </w:rPr>
        <w:tab/>
      </w:r>
      <w:r w:rsidR="00995F20" w:rsidRPr="00C631F9">
        <w:rPr>
          <w:rFonts w:ascii="Times New Roman" w:hAnsi="Times New Roman" w:cs="Times New Roman"/>
          <w:b/>
          <w:sz w:val="26"/>
          <w:szCs w:val="26"/>
        </w:rPr>
        <w:tab/>
      </w:r>
      <w:r w:rsidR="00995F20" w:rsidRPr="00C631F9">
        <w:rPr>
          <w:rFonts w:ascii="Times New Roman" w:hAnsi="Times New Roman" w:cs="Times New Roman"/>
          <w:b/>
          <w:sz w:val="26"/>
          <w:szCs w:val="26"/>
        </w:rPr>
        <w:tab/>
      </w:r>
      <w:r w:rsidR="00995F20" w:rsidRPr="00C631F9">
        <w:rPr>
          <w:rFonts w:ascii="Times New Roman" w:hAnsi="Times New Roman" w:cs="Times New Roman"/>
          <w:b/>
          <w:sz w:val="26"/>
          <w:szCs w:val="26"/>
        </w:rPr>
        <w:tab/>
        <w:t xml:space="preserve"> </w:t>
      </w:r>
      <w:r w:rsidR="00995F20" w:rsidRPr="00C631F9">
        <w:rPr>
          <w:rFonts w:ascii="Times New Roman" w:hAnsi="Times New Roman" w:cs="Times New Roman"/>
          <w:b/>
          <w:sz w:val="26"/>
          <w:szCs w:val="26"/>
        </w:rPr>
        <w:tab/>
        <w:t xml:space="preserve">№ </w:t>
      </w:r>
      <w:r w:rsidRPr="00C631F9">
        <w:rPr>
          <w:rFonts w:ascii="Times New Roman" w:hAnsi="Times New Roman" w:cs="Times New Roman"/>
          <w:b/>
          <w:sz w:val="26"/>
          <w:szCs w:val="26"/>
        </w:rPr>
        <w:t>626</w:t>
      </w:r>
      <w:r w:rsidR="00185A4D" w:rsidRPr="00C631F9">
        <w:rPr>
          <w:rFonts w:ascii="Times New Roman" w:hAnsi="Times New Roman" w:cs="Times New Roman"/>
          <w:b/>
          <w:sz w:val="26"/>
          <w:szCs w:val="26"/>
        </w:rPr>
        <w:t>-п</w:t>
      </w:r>
    </w:p>
    <w:p w:rsidR="00995F20" w:rsidRPr="005174C4" w:rsidRDefault="00995F20" w:rsidP="00995F20">
      <w:pPr>
        <w:spacing w:after="0" w:line="240" w:lineRule="auto"/>
        <w:jc w:val="center"/>
        <w:rPr>
          <w:rFonts w:ascii="Times New Roman" w:hAnsi="Times New Roman" w:cs="Times New Roman"/>
          <w:sz w:val="26"/>
          <w:szCs w:val="26"/>
        </w:rPr>
      </w:pPr>
    </w:p>
    <w:p w:rsidR="00995F20" w:rsidRPr="005174C4" w:rsidRDefault="00995F20" w:rsidP="00995F20">
      <w:pPr>
        <w:spacing w:after="0" w:line="240" w:lineRule="auto"/>
        <w:jc w:val="center"/>
        <w:rPr>
          <w:rFonts w:ascii="Times New Roman" w:hAnsi="Times New Roman" w:cs="Times New Roman"/>
          <w:sz w:val="26"/>
          <w:szCs w:val="26"/>
        </w:rPr>
      </w:pPr>
      <w:r w:rsidRPr="005174C4">
        <w:rPr>
          <w:rFonts w:ascii="Times New Roman" w:hAnsi="Times New Roman" w:cs="Times New Roman"/>
          <w:sz w:val="26"/>
          <w:szCs w:val="26"/>
        </w:rPr>
        <w:t>г. Орлов</w:t>
      </w:r>
    </w:p>
    <w:p w:rsidR="00995F20" w:rsidRPr="005174C4" w:rsidRDefault="00995F20" w:rsidP="00995F20">
      <w:pPr>
        <w:pStyle w:val="ConsPlusTitle"/>
        <w:jc w:val="center"/>
        <w:outlineLvl w:val="0"/>
        <w:rPr>
          <w:rFonts w:ascii="Times New Roman" w:hAnsi="Times New Roman" w:cs="Times New Roman"/>
          <w:sz w:val="26"/>
          <w:szCs w:val="26"/>
        </w:rPr>
      </w:pPr>
    </w:p>
    <w:p w:rsidR="00995F20" w:rsidRPr="005174C4" w:rsidRDefault="00995F20" w:rsidP="00995F20">
      <w:pPr>
        <w:pStyle w:val="ConsPlusTitle"/>
        <w:jc w:val="center"/>
        <w:outlineLvl w:val="0"/>
        <w:rPr>
          <w:rFonts w:ascii="Times New Roman" w:hAnsi="Times New Roman" w:cs="Times New Roman"/>
          <w:sz w:val="26"/>
          <w:szCs w:val="26"/>
        </w:rPr>
      </w:pPr>
      <w:r w:rsidRPr="005174C4">
        <w:rPr>
          <w:rFonts w:ascii="Times New Roman" w:hAnsi="Times New Roman" w:cs="Times New Roman"/>
          <w:sz w:val="26"/>
          <w:szCs w:val="26"/>
        </w:rPr>
        <w:t xml:space="preserve">Об утверждении Порядка </w:t>
      </w:r>
      <w:r w:rsidR="007A5298" w:rsidRPr="005174C4">
        <w:rPr>
          <w:rFonts w:ascii="Times New Roman" w:hAnsi="Times New Roman" w:cs="Times New Roman"/>
          <w:sz w:val="26"/>
          <w:szCs w:val="26"/>
        </w:rPr>
        <w:t xml:space="preserve">предоставления несовершеннолетним детям военнослужащих бесплатных услуг дополнительного образования в </w:t>
      </w:r>
      <w:r w:rsidR="00056892" w:rsidRPr="005174C4">
        <w:rPr>
          <w:rFonts w:ascii="Times New Roman" w:hAnsi="Times New Roman" w:cs="Times New Roman"/>
          <w:sz w:val="26"/>
          <w:szCs w:val="26"/>
        </w:rPr>
        <w:t xml:space="preserve">муниципальных </w:t>
      </w:r>
      <w:r w:rsidR="007A5298" w:rsidRPr="005174C4">
        <w:rPr>
          <w:rFonts w:ascii="Times New Roman" w:hAnsi="Times New Roman" w:cs="Times New Roman"/>
          <w:sz w:val="26"/>
          <w:szCs w:val="26"/>
        </w:rPr>
        <w:t>образовательных организациях, подведомственных органам местного самоуправления Орловского района</w:t>
      </w:r>
    </w:p>
    <w:p w:rsidR="00995F20" w:rsidRPr="005174C4" w:rsidRDefault="00995F20" w:rsidP="00995F20">
      <w:pPr>
        <w:pStyle w:val="ConsPlusTitle"/>
        <w:jc w:val="center"/>
        <w:outlineLvl w:val="0"/>
        <w:rPr>
          <w:rFonts w:ascii="Times New Roman" w:hAnsi="Times New Roman" w:cs="Times New Roman"/>
          <w:sz w:val="26"/>
          <w:szCs w:val="26"/>
        </w:rPr>
      </w:pPr>
    </w:p>
    <w:p w:rsidR="00995F20" w:rsidRPr="005174C4" w:rsidRDefault="00995F20" w:rsidP="00995F20">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5174C4">
        <w:rPr>
          <w:rFonts w:ascii="Times New Roman" w:hAnsi="Times New Roman" w:cs="Times New Roman"/>
          <w:sz w:val="26"/>
          <w:szCs w:val="26"/>
        </w:rPr>
        <w:t>В соответствии с Указом Губернатора Кировской области от 14.10.2022 № 87 «О дополнительной социальной поддержке отдельных категорий граждан», постановления Правительства Кировской области от 07.10.2022 № 548-п «О дополнительной социальной поддержке членов семей отдельных категорий граждан»,  администрация Орловского района ПОСТАНОВЛЯЕТ:</w:t>
      </w:r>
    </w:p>
    <w:p w:rsidR="00185A4D" w:rsidRPr="005174C4" w:rsidRDefault="00995F20" w:rsidP="00185A4D">
      <w:pPr>
        <w:pStyle w:val="ConsPlusNormal"/>
        <w:numPr>
          <w:ilvl w:val="0"/>
          <w:numId w:val="1"/>
        </w:numPr>
        <w:spacing w:line="360" w:lineRule="auto"/>
        <w:ind w:left="0" w:firstLine="851"/>
        <w:jc w:val="both"/>
        <w:rPr>
          <w:rFonts w:ascii="Times New Roman" w:hAnsi="Times New Roman" w:cs="Times New Roman"/>
          <w:sz w:val="26"/>
          <w:szCs w:val="26"/>
        </w:rPr>
      </w:pPr>
      <w:r w:rsidRPr="005174C4">
        <w:rPr>
          <w:rFonts w:ascii="Times New Roman" w:hAnsi="Times New Roman" w:cs="Times New Roman"/>
          <w:sz w:val="26"/>
          <w:szCs w:val="26"/>
        </w:rPr>
        <w:t xml:space="preserve">Утвердить Порядок </w:t>
      </w:r>
      <w:r w:rsidR="0085018D" w:rsidRPr="005174C4">
        <w:rPr>
          <w:rFonts w:ascii="Times New Roman" w:hAnsi="Times New Roman" w:cs="Times New Roman"/>
          <w:sz w:val="26"/>
          <w:szCs w:val="26"/>
        </w:rPr>
        <w:t xml:space="preserve">предоставления </w:t>
      </w:r>
      <w:r w:rsidR="007A5298" w:rsidRPr="005174C4">
        <w:rPr>
          <w:rFonts w:ascii="Times New Roman" w:hAnsi="Times New Roman" w:cs="Times New Roman"/>
          <w:sz w:val="26"/>
          <w:szCs w:val="26"/>
        </w:rPr>
        <w:t xml:space="preserve">несовершеннолетним детям военнослужащих бесплатных услуг дополнительного образования в </w:t>
      </w:r>
      <w:r w:rsidR="00032401" w:rsidRPr="005174C4">
        <w:rPr>
          <w:rFonts w:ascii="Times New Roman" w:hAnsi="Times New Roman" w:cs="Times New Roman"/>
          <w:sz w:val="26"/>
          <w:szCs w:val="26"/>
        </w:rPr>
        <w:t xml:space="preserve">муниципальных </w:t>
      </w:r>
      <w:r w:rsidR="007A5298" w:rsidRPr="005174C4">
        <w:rPr>
          <w:rFonts w:ascii="Times New Roman" w:hAnsi="Times New Roman" w:cs="Times New Roman"/>
          <w:sz w:val="26"/>
          <w:szCs w:val="26"/>
        </w:rPr>
        <w:t>образовательных организациях, подведомственных органам местного самоуправления Орловского района</w:t>
      </w:r>
      <w:r w:rsidR="00546EEC" w:rsidRPr="005174C4">
        <w:rPr>
          <w:rFonts w:ascii="Times New Roman" w:hAnsi="Times New Roman" w:cs="Times New Roman"/>
          <w:sz w:val="26"/>
          <w:szCs w:val="26"/>
        </w:rPr>
        <w:t xml:space="preserve"> (далее – Порядок)</w:t>
      </w:r>
      <w:r w:rsidRPr="005174C4">
        <w:rPr>
          <w:rFonts w:ascii="Times New Roman" w:hAnsi="Times New Roman" w:cs="Times New Roman"/>
          <w:sz w:val="26"/>
          <w:szCs w:val="26"/>
        </w:rPr>
        <w:t xml:space="preserve"> согласно приложению. </w:t>
      </w:r>
    </w:p>
    <w:p w:rsidR="00A56474" w:rsidRPr="005174C4" w:rsidRDefault="00A56474" w:rsidP="00185A4D">
      <w:pPr>
        <w:pStyle w:val="ConsPlusNormal"/>
        <w:numPr>
          <w:ilvl w:val="0"/>
          <w:numId w:val="1"/>
        </w:numPr>
        <w:spacing w:line="360" w:lineRule="auto"/>
        <w:ind w:left="0" w:firstLine="851"/>
        <w:jc w:val="both"/>
        <w:rPr>
          <w:rFonts w:ascii="Times New Roman" w:hAnsi="Times New Roman" w:cs="Times New Roman"/>
          <w:sz w:val="26"/>
          <w:szCs w:val="26"/>
        </w:rPr>
      </w:pPr>
      <w:r w:rsidRPr="005174C4">
        <w:rPr>
          <w:rFonts w:ascii="Times New Roman" w:hAnsi="Times New Roman" w:cs="Times New Roman"/>
          <w:sz w:val="26"/>
          <w:szCs w:val="26"/>
        </w:rPr>
        <w:t xml:space="preserve">Муниципальным </w:t>
      </w:r>
      <w:r w:rsidR="00056892" w:rsidRPr="005174C4">
        <w:rPr>
          <w:rFonts w:ascii="Times New Roman" w:hAnsi="Times New Roman" w:cs="Times New Roman"/>
          <w:sz w:val="26"/>
          <w:szCs w:val="26"/>
        </w:rPr>
        <w:t>образовательным организациям</w:t>
      </w:r>
      <w:r w:rsidRPr="005174C4">
        <w:rPr>
          <w:rFonts w:ascii="Times New Roman" w:hAnsi="Times New Roman" w:cs="Times New Roman"/>
          <w:sz w:val="26"/>
          <w:szCs w:val="26"/>
        </w:rPr>
        <w:t xml:space="preserve">, подведомственным </w:t>
      </w:r>
      <w:r w:rsidR="00546EEC" w:rsidRPr="005174C4">
        <w:rPr>
          <w:rFonts w:ascii="Times New Roman" w:hAnsi="Times New Roman" w:cs="Times New Roman"/>
          <w:sz w:val="26"/>
          <w:szCs w:val="26"/>
        </w:rPr>
        <w:t>органам местного самоуправления</w:t>
      </w:r>
      <w:r w:rsidRPr="005174C4">
        <w:rPr>
          <w:rFonts w:ascii="Times New Roman" w:hAnsi="Times New Roman" w:cs="Times New Roman"/>
          <w:sz w:val="26"/>
          <w:szCs w:val="26"/>
        </w:rPr>
        <w:t xml:space="preserve"> Орловского района, обеспечить </w:t>
      </w:r>
      <w:r w:rsidR="00546EEC" w:rsidRPr="005174C4">
        <w:rPr>
          <w:rFonts w:ascii="Times New Roman" w:hAnsi="Times New Roman" w:cs="Times New Roman"/>
          <w:sz w:val="26"/>
          <w:szCs w:val="26"/>
        </w:rPr>
        <w:t>предоставление меры социальной поддержки согласно утвержденному Порядку.</w:t>
      </w:r>
    </w:p>
    <w:p w:rsidR="00185A4D" w:rsidRPr="005174C4" w:rsidRDefault="00185A4D" w:rsidP="00185A4D">
      <w:pPr>
        <w:pStyle w:val="ConsPlusNormal"/>
        <w:numPr>
          <w:ilvl w:val="0"/>
          <w:numId w:val="1"/>
        </w:numPr>
        <w:spacing w:line="360" w:lineRule="auto"/>
        <w:ind w:left="0" w:firstLine="851"/>
        <w:jc w:val="both"/>
        <w:rPr>
          <w:rFonts w:ascii="Times New Roman" w:hAnsi="Times New Roman" w:cs="Times New Roman"/>
          <w:sz w:val="26"/>
          <w:szCs w:val="26"/>
        </w:rPr>
      </w:pPr>
      <w:r w:rsidRPr="005174C4">
        <w:rPr>
          <w:rFonts w:ascii="Times New Roman" w:hAnsi="Times New Roman" w:cs="Times New Roman"/>
          <w:sz w:val="26"/>
          <w:szCs w:val="26"/>
        </w:rPr>
        <w:t>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85A4D" w:rsidRPr="005174C4" w:rsidRDefault="00185A4D" w:rsidP="00185A4D">
      <w:pPr>
        <w:pStyle w:val="ConsPlusNormal"/>
        <w:numPr>
          <w:ilvl w:val="0"/>
          <w:numId w:val="1"/>
        </w:numPr>
        <w:spacing w:line="360" w:lineRule="auto"/>
        <w:ind w:left="0" w:firstLine="851"/>
        <w:jc w:val="both"/>
        <w:rPr>
          <w:rFonts w:ascii="Times New Roman" w:hAnsi="Times New Roman" w:cs="Times New Roman"/>
          <w:sz w:val="26"/>
          <w:szCs w:val="26"/>
        </w:rPr>
      </w:pPr>
      <w:r w:rsidRPr="005174C4">
        <w:rPr>
          <w:rFonts w:ascii="Times New Roman" w:hAnsi="Times New Roman" w:cs="Times New Roman"/>
          <w:sz w:val="26"/>
          <w:szCs w:val="26"/>
        </w:rPr>
        <w:t>Постановление вступает в силу с момента его опубликования</w:t>
      </w:r>
      <w:r w:rsidR="0097066E" w:rsidRPr="005174C4">
        <w:rPr>
          <w:rFonts w:ascii="Times New Roman" w:hAnsi="Times New Roman" w:cs="Times New Roman"/>
          <w:sz w:val="26"/>
          <w:szCs w:val="26"/>
        </w:rPr>
        <w:t xml:space="preserve"> и распространяется на правоотношения, возникшие с 28.10.2022 г</w:t>
      </w:r>
      <w:r w:rsidRPr="005174C4">
        <w:rPr>
          <w:rFonts w:ascii="Times New Roman" w:hAnsi="Times New Roman" w:cs="Times New Roman"/>
          <w:sz w:val="26"/>
          <w:szCs w:val="26"/>
        </w:rPr>
        <w:t>.</w:t>
      </w:r>
    </w:p>
    <w:p w:rsidR="00185A4D" w:rsidRPr="005174C4" w:rsidRDefault="00185A4D" w:rsidP="00995F20">
      <w:pPr>
        <w:spacing w:after="0" w:line="240" w:lineRule="auto"/>
        <w:jc w:val="both"/>
        <w:rPr>
          <w:rFonts w:ascii="Times New Roman" w:hAnsi="Times New Roman" w:cs="Times New Roman"/>
          <w:sz w:val="26"/>
          <w:szCs w:val="26"/>
        </w:rPr>
      </w:pPr>
    </w:p>
    <w:p w:rsidR="00995F20" w:rsidRPr="005174C4" w:rsidRDefault="0096601F" w:rsidP="00995F20">
      <w:pPr>
        <w:spacing w:after="0" w:line="240" w:lineRule="auto"/>
        <w:jc w:val="both"/>
        <w:rPr>
          <w:rFonts w:ascii="Times New Roman" w:hAnsi="Times New Roman" w:cs="Times New Roman"/>
          <w:sz w:val="26"/>
          <w:szCs w:val="26"/>
        </w:rPr>
      </w:pPr>
      <w:proofErr w:type="spellStart"/>
      <w:r w:rsidRPr="005174C4">
        <w:rPr>
          <w:rFonts w:ascii="Times New Roman" w:hAnsi="Times New Roman" w:cs="Times New Roman"/>
          <w:sz w:val="26"/>
          <w:szCs w:val="26"/>
        </w:rPr>
        <w:t>И.о</w:t>
      </w:r>
      <w:proofErr w:type="spellEnd"/>
      <w:r w:rsidRPr="005174C4">
        <w:rPr>
          <w:rFonts w:ascii="Times New Roman" w:hAnsi="Times New Roman" w:cs="Times New Roman"/>
          <w:sz w:val="26"/>
          <w:szCs w:val="26"/>
        </w:rPr>
        <w:t>. г</w:t>
      </w:r>
      <w:r w:rsidR="00995F20" w:rsidRPr="005174C4">
        <w:rPr>
          <w:rFonts w:ascii="Times New Roman" w:hAnsi="Times New Roman" w:cs="Times New Roman"/>
          <w:sz w:val="26"/>
          <w:szCs w:val="26"/>
        </w:rPr>
        <w:t>лав</w:t>
      </w:r>
      <w:r w:rsidRPr="005174C4">
        <w:rPr>
          <w:rFonts w:ascii="Times New Roman" w:hAnsi="Times New Roman" w:cs="Times New Roman"/>
          <w:sz w:val="26"/>
          <w:szCs w:val="26"/>
        </w:rPr>
        <w:t>ы</w:t>
      </w:r>
      <w:r w:rsidR="00995F20" w:rsidRPr="005174C4">
        <w:rPr>
          <w:rFonts w:ascii="Times New Roman" w:hAnsi="Times New Roman" w:cs="Times New Roman"/>
          <w:sz w:val="26"/>
          <w:szCs w:val="26"/>
        </w:rPr>
        <w:t xml:space="preserve"> администрации </w:t>
      </w:r>
    </w:p>
    <w:p w:rsidR="00995F20" w:rsidRPr="005174C4" w:rsidRDefault="00995F20" w:rsidP="00995F20">
      <w:pPr>
        <w:pStyle w:val="a5"/>
        <w:spacing w:before="0" w:after="0"/>
        <w:rPr>
          <w:rFonts w:ascii="Times New Roman" w:hAnsi="Times New Roman" w:cs="Times New Roman"/>
          <w:sz w:val="26"/>
          <w:szCs w:val="26"/>
        </w:rPr>
      </w:pPr>
      <w:r w:rsidRPr="005174C4">
        <w:rPr>
          <w:rFonts w:ascii="Times New Roman" w:hAnsi="Times New Roman" w:cs="Times New Roman"/>
          <w:sz w:val="26"/>
          <w:szCs w:val="26"/>
        </w:rPr>
        <w:t>Орловского района                  А.</w:t>
      </w:r>
      <w:r w:rsidR="00AC7EC1" w:rsidRPr="005174C4">
        <w:rPr>
          <w:rFonts w:ascii="Times New Roman" w:hAnsi="Times New Roman" w:cs="Times New Roman"/>
          <w:sz w:val="26"/>
          <w:szCs w:val="26"/>
        </w:rPr>
        <w:t>Ю. Макарова</w:t>
      </w:r>
    </w:p>
    <w:p w:rsidR="00995F20" w:rsidRPr="00C82DFF" w:rsidRDefault="00995F20" w:rsidP="00995F20">
      <w:pPr>
        <w:pStyle w:val="a3"/>
        <w:jc w:val="both"/>
        <w:rPr>
          <w:sz w:val="24"/>
          <w:lang w:eastAsia="ar-SA"/>
        </w:rPr>
      </w:pPr>
    </w:p>
    <w:p w:rsidR="005174C4" w:rsidRDefault="005174C4" w:rsidP="00185A4D">
      <w:pPr>
        <w:pStyle w:val="a3"/>
        <w:ind w:left="5245"/>
        <w:jc w:val="both"/>
        <w:rPr>
          <w:sz w:val="25"/>
          <w:szCs w:val="25"/>
          <w:lang w:eastAsia="ar-SA"/>
        </w:rPr>
      </w:pPr>
    </w:p>
    <w:p w:rsidR="00185A4D" w:rsidRPr="005174C4" w:rsidRDefault="00185A4D" w:rsidP="00185A4D">
      <w:pPr>
        <w:pStyle w:val="a3"/>
        <w:ind w:left="5245"/>
        <w:jc w:val="both"/>
        <w:rPr>
          <w:sz w:val="25"/>
          <w:szCs w:val="25"/>
          <w:lang w:eastAsia="ar-SA"/>
        </w:rPr>
      </w:pPr>
      <w:r w:rsidRPr="005174C4">
        <w:rPr>
          <w:sz w:val="25"/>
          <w:szCs w:val="25"/>
          <w:lang w:eastAsia="ar-SA"/>
        </w:rPr>
        <w:lastRenderedPageBreak/>
        <w:t>Приложение</w:t>
      </w:r>
    </w:p>
    <w:p w:rsidR="00185A4D" w:rsidRPr="005174C4" w:rsidRDefault="00185A4D" w:rsidP="00185A4D">
      <w:pPr>
        <w:pStyle w:val="a3"/>
        <w:ind w:left="5245"/>
        <w:jc w:val="both"/>
        <w:rPr>
          <w:sz w:val="25"/>
          <w:szCs w:val="25"/>
          <w:lang w:eastAsia="ar-SA"/>
        </w:rPr>
      </w:pPr>
    </w:p>
    <w:p w:rsidR="00185A4D" w:rsidRPr="005174C4" w:rsidRDefault="00185A4D" w:rsidP="00185A4D">
      <w:pPr>
        <w:pStyle w:val="a3"/>
        <w:ind w:left="5245"/>
        <w:jc w:val="both"/>
        <w:rPr>
          <w:sz w:val="25"/>
          <w:szCs w:val="25"/>
          <w:lang w:eastAsia="ar-SA"/>
        </w:rPr>
      </w:pPr>
      <w:r w:rsidRPr="005174C4">
        <w:rPr>
          <w:sz w:val="25"/>
          <w:szCs w:val="25"/>
          <w:lang w:eastAsia="ar-SA"/>
        </w:rPr>
        <w:t>Утвержден постановлением администрации Орловского райо</w:t>
      </w:r>
      <w:r w:rsidR="00C631F9">
        <w:rPr>
          <w:sz w:val="25"/>
          <w:szCs w:val="25"/>
          <w:lang w:eastAsia="ar-SA"/>
        </w:rPr>
        <w:t>на от 25.11.</w:t>
      </w:r>
      <w:bookmarkStart w:id="0" w:name="_GoBack"/>
      <w:bookmarkEnd w:id="0"/>
      <w:r w:rsidR="00C631F9">
        <w:rPr>
          <w:sz w:val="25"/>
          <w:szCs w:val="25"/>
          <w:lang w:eastAsia="ar-SA"/>
        </w:rPr>
        <w:t>2022 г. № 626</w:t>
      </w:r>
      <w:r w:rsidRPr="005174C4">
        <w:rPr>
          <w:sz w:val="25"/>
          <w:szCs w:val="25"/>
          <w:lang w:eastAsia="ar-SA"/>
        </w:rPr>
        <w:t>-п</w:t>
      </w:r>
    </w:p>
    <w:p w:rsidR="00995F20" w:rsidRPr="005174C4" w:rsidRDefault="00995F20" w:rsidP="00995F20">
      <w:pPr>
        <w:pStyle w:val="ConsPlusNormal"/>
        <w:jc w:val="right"/>
        <w:outlineLvl w:val="0"/>
        <w:rPr>
          <w:rFonts w:ascii="Times New Roman" w:hAnsi="Times New Roman" w:cs="Times New Roman"/>
          <w:sz w:val="25"/>
          <w:szCs w:val="25"/>
        </w:rPr>
      </w:pPr>
    </w:p>
    <w:p w:rsidR="00995F20" w:rsidRPr="005174C4" w:rsidRDefault="00185A4D" w:rsidP="00185A4D">
      <w:pPr>
        <w:pStyle w:val="ConsPlusNormal"/>
        <w:jc w:val="center"/>
        <w:outlineLvl w:val="0"/>
        <w:rPr>
          <w:rFonts w:ascii="Times New Roman" w:hAnsi="Times New Roman" w:cs="Times New Roman"/>
          <w:b/>
          <w:sz w:val="25"/>
          <w:szCs w:val="25"/>
        </w:rPr>
      </w:pPr>
      <w:r w:rsidRPr="005174C4">
        <w:rPr>
          <w:rFonts w:ascii="Times New Roman" w:hAnsi="Times New Roman" w:cs="Times New Roman"/>
          <w:b/>
          <w:sz w:val="25"/>
          <w:szCs w:val="25"/>
        </w:rPr>
        <w:t>ПОРЯДОК</w:t>
      </w:r>
    </w:p>
    <w:p w:rsidR="008962E1" w:rsidRPr="005174C4" w:rsidRDefault="00335045" w:rsidP="00335045">
      <w:pPr>
        <w:jc w:val="center"/>
        <w:rPr>
          <w:sz w:val="25"/>
          <w:szCs w:val="25"/>
        </w:rPr>
      </w:pPr>
      <w:r w:rsidRPr="005174C4">
        <w:rPr>
          <w:rFonts w:ascii="Times New Roman" w:eastAsia="Times New Roman" w:hAnsi="Times New Roman" w:cs="Times New Roman"/>
          <w:b/>
          <w:sz w:val="25"/>
          <w:szCs w:val="25"/>
          <w:lang w:eastAsia="ru-RU"/>
        </w:rPr>
        <w:t>предоставления несовершеннолетним детям военнослужащих бесплатных услуг дополнительного образования в муниципальных образовательных организациях, подведомственных органам местного самоуправления Орловского района</w:t>
      </w:r>
    </w:p>
    <w:p w:rsidR="00185A4D" w:rsidRPr="005174C4" w:rsidRDefault="00002ABA" w:rsidP="00002ABA">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t xml:space="preserve">1. </w:t>
      </w:r>
      <w:proofErr w:type="gramStart"/>
      <w:r w:rsidR="00185A4D" w:rsidRPr="005174C4">
        <w:rPr>
          <w:rFonts w:ascii="Times New Roman" w:hAnsi="Times New Roman" w:cs="Times New Roman"/>
          <w:sz w:val="25"/>
          <w:szCs w:val="25"/>
        </w:rPr>
        <w:t xml:space="preserve">Порядок </w:t>
      </w:r>
      <w:r w:rsidR="005C4D82" w:rsidRPr="005174C4">
        <w:rPr>
          <w:rFonts w:ascii="Times New Roman" w:hAnsi="Times New Roman" w:cs="Times New Roman"/>
          <w:sz w:val="25"/>
          <w:szCs w:val="25"/>
        </w:rPr>
        <w:t xml:space="preserve">предоставления несовершеннолетним детям военнослужащих бесплатных услуг дополнительного образования в муниципальных образовательных организациях, подведомственных органам местного самоуправления Орловского района </w:t>
      </w:r>
      <w:r w:rsidR="00185A4D" w:rsidRPr="005174C4">
        <w:rPr>
          <w:rFonts w:ascii="Times New Roman" w:hAnsi="Times New Roman" w:cs="Times New Roman"/>
          <w:sz w:val="25"/>
          <w:szCs w:val="25"/>
        </w:rPr>
        <w:t>(далее – Порядок) определяет условия и порядок предоставления</w:t>
      </w:r>
      <w:r w:rsidR="005C4D82" w:rsidRPr="005174C4">
        <w:rPr>
          <w:rFonts w:ascii="Times New Roman" w:hAnsi="Times New Roman" w:cs="Times New Roman"/>
          <w:sz w:val="25"/>
          <w:szCs w:val="25"/>
        </w:rPr>
        <w:t xml:space="preserve"> не достигшим возраста 18 лет детям лиц, призванных в соответствии с Указом Президента Российской Федерации от 21.09.2022 № 647 «Об объявлении частичной мобилизации</w:t>
      </w:r>
      <w:r w:rsidR="0092498F" w:rsidRPr="005174C4">
        <w:rPr>
          <w:rFonts w:ascii="Times New Roman" w:hAnsi="Times New Roman" w:cs="Times New Roman"/>
          <w:sz w:val="25"/>
          <w:szCs w:val="25"/>
        </w:rPr>
        <w:t xml:space="preserve"> в Российской Федерации в Российской Федерации» на военную службу по мобилизации в</w:t>
      </w:r>
      <w:proofErr w:type="gramEnd"/>
      <w:r w:rsidR="0092498F" w:rsidRPr="005174C4">
        <w:rPr>
          <w:rFonts w:ascii="Times New Roman" w:hAnsi="Times New Roman" w:cs="Times New Roman"/>
          <w:sz w:val="25"/>
          <w:szCs w:val="25"/>
        </w:rPr>
        <w:t xml:space="preserve"> </w:t>
      </w:r>
      <w:proofErr w:type="gramStart"/>
      <w:r w:rsidR="0092498F" w:rsidRPr="005174C4">
        <w:rPr>
          <w:rFonts w:ascii="Times New Roman" w:hAnsi="Times New Roman" w:cs="Times New Roman"/>
          <w:sz w:val="25"/>
          <w:szCs w:val="25"/>
        </w:rPr>
        <w:t>Вооруженные Силы Российской Федерации областной призывной комиссией по мобилизации граждан, а также комиссиями по мобилизации граждан, возданными в муниципальных районах, муниципальных округах, городских округах Кировской области, по представлению Военных комиссариатов, лиц, принимающих участие в специальной военной операции на территориях Украины, донецкой Народной Республики и Луганской Народной Республики и заключивших не ранее 24.02.2022 контракт о прохождении военной службы в Вооруженных Силах</w:t>
      </w:r>
      <w:proofErr w:type="gramEnd"/>
      <w:r w:rsidR="0092498F" w:rsidRPr="005174C4">
        <w:rPr>
          <w:rFonts w:ascii="Times New Roman" w:hAnsi="Times New Roman" w:cs="Times New Roman"/>
          <w:sz w:val="25"/>
          <w:szCs w:val="25"/>
        </w:rPr>
        <w:t xml:space="preserve"> Российской Федерации или контракт о добровольном содействии в выполнении задач, возложенных на Вооруженные Силы Российской Федерации (далее – военнослужащие, несовершеннолетние дети военнослужащих), бесплатных услуг дополнительного образования в муниципальных образовательных организациях, подведомственных органам местного самоуправления Орловского района (далее – муниципальные образовательные организации)</w:t>
      </w:r>
      <w:r w:rsidRPr="005174C4">
        <w:rPr>
          <w:rFonts w:ascii="Times New Roman" w:hAnsi="Times New Roman" w:cs="Times New Roman"/>
          <w:sz w:val="25"/>
          <w:szCs w:val="25"/>
        </w:rPr>
        <w:t>.</w:t>
      </w:r>
    </w:p>
    <w:p w:rsidR="009A04D6" w:rsidRPr="005174C4" w:rsidRDefault="00002ABA" w:rsidP="00D43C02">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t xml:space="preserve">2. </w:t>
      </w:r>
      <w:r w:rsidR="00D43C02" w:rsidRPr="005174C4">
        <w:rPr>
          <w:rFonts w:ascii="Times New Roman" w:hAnsi="Times New Roman" w:cs="Times New Roman"/>
          <w:sz w:val="25"/>
          <w:szCs w:val="25"/>
        </w:rPr>
        <w:t>В целых настоящего Порядка под бесплатными услугами дополнительного образования понимаются услуги дополнительного образования, предоставляемые государственной образовательной организацией несовершеннолетним детям военнослужащих по договору об оказании платных образовательных услуг. Бесплатная услуга дополнительного образования обеспечивается путем предоставления льготы по оплате услуг дополнительного образования в размере 100% родителям (законным представителям) несовершеннолетних детей военнослужащих.</w:t>
      </w:r>
    </w:p>
    <w:p w:rsidR="00D43C02" w:rsidRPr="005174C4" w:rsidRDefault="00D43C02" w:rsidP="00D43C02">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lastRenderedPageBreak/>
        <w:t>3. Право на получение бесплатных услуг дополнительного образования несовершеннолетним детям военнослужащих предоставляется до последнего дня месяца, следующего за месяцем окончания периода прохождения военной службы по мобилизации, прекращения действия контракта, указанного в пункте 1 настоящего Порядка.</w:t>
      </w:r>
    </w:p>
    <w:p w:rsidR="00D43C02" w:rsidRPr="005174C4" w:rsidRDefault="00D43C02" w:rsidP="00D43C02">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t xml:space="preserve">4. </w:t>
      </w:r>
      <w:proofErr w:type="gramStart"/>
      <w:r w:rsidRPr="005174C4">
        <w:rPr>
          <w:rFonts w:ascii="Times New Roman" w:hAnsi="Times New Roman" w:cs="Times New Roman"/>
          <w:sz w:val="25"/>
          <w:szCs w:val="25"/>
        </w:rPr>
        <w:t xml:space="preserve">Документом, подтверждающим право несовершеннолетних детей военнослужащих на получение бесплатных услуг дополнительного образования, является выдаваемое территориальными отделами и территориальными обособленными структурными подразделениями Кировского областного </w:t>
      </w:r>
      <w:r w:rsidR="005D4F04" w:rsidRPr="005174C4">
        <w:rPr>
          <w:rFonts w:ascii="Times New Roman" w:hAnsi="Times New Roman" w:cs="Times New Roman"/>
          <w:sz w:val="25"/>
          <w:szCs w:val="25"/>
        </w:rPr>
        <w:t>государственного автономного учреждения «Многофункциональный центр предоставления государственных и муниципальных услуг» в порядке, установленном распоряжением министерства информационных технологий и связи Кировской области от 21.10.2022 № 32 «Об утверждении Порядка выдачи многофункциональными центрами предоставления государственных и муниципальных услуг удостоверения, указанного</w:t>
      </w:r>
      <w:proofErr w:type="gramEnd"/>
      <w:r w:rsidR="005D4F04" w:rsidRPr="005174C4">
        <w:rPr>
          <w:rFonts w:ascii="Times New Roman" w:hAnsi="Times New Roman" w:cs="Times New Roman"/>
          <w:sz w:val="25"/>
          <w:szCs w:val="25"/>
        </w:rPr>
        <w:t xml:space="preserve"> в пунктах 1,2 распоряжения Правительства Кировской области от 20.10.2022 № 244 «О мерах по реализации постановления Правительства Кировской области от 07.10.2022 № 548-п «, удостоверение (д</w:t>
      </w:r>
      <w:r w:rsidR="00C1452E" w:rsidRPr="005174C4">
        <w:rPr>
          <w:rFonts w:ascii="Times New Roman" w:hAnsi="Times New Roman" w:cs="Times New Roman"/>
          <w:sz w:val="25"/>
          <w:szCs w:val="25"/>
        </w:rPr>
        <w:t>а</w:t>
      </w:r>
      <w:r w:rsidR="005D4F04" w:rsidRPr="005174C4">
        <w:rPr>
          <w:rFonts w:ascii="Times New Roman" w:hAnsi="Times New Roman" w:cs="Times New Roman"/>
          <w:sz w:val="25"/>
          <w:szCs w:val="25"/>
        </w:rPr>
        <w:t>лее – удостоверение).</w:t>
      </w:r>
    </w:p>
    <w:p w:rsidR="00C1452E" w:rsidRPr="005174C4" w:rsidRDefault="00C1452E" w:rsidP="00D43C02">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t>5. Бесплатные услуги дополнительного образования несовершеннолетним детям военнослужащих предоставляются в муниципальных образовательных организациях независимо от формы обучения.</w:t>
      </w:r>
    </w:p>
    <w:p w:rsidR="00C1452E" w:rsidRPr="005174C4" w:rsidRDefault="00C1452E" w:rsidP="00D43C02">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t>6. Бесплатные услуги дополнительного образования предоставляются по дополнительной общеразвивающей программе. Муниципальные образовательные организации контролируют наличие (включение) дополнит</w:t>
      </w:r>
      <w:r w:rsidR="005B25FE" w:rsidRPr="005174C4">
        <w:rPr>
          <w:rFonts w:ascii="Times New Roman" w:hAnsi="Times New Roman" w:cs="Times New Roman"/>
          <w:sz w:val="25"/>
          <w:szCs w:val="25"/>
        </w:rPr>
        <w:t>ельной общеразвивающей программы в региональный навигатор дополнительного образования детей в Кировской области</w:t>
      </w:r>
      <w:proofErr w:type="gramStart"/>
      <w:r w:rsidRPr="005174C4">
        <w:rPr>
          <w:rFonts w:ascii="Times New Roman" w:hAnsi="Times New Roman" w:cs="Times New Roman"/>
          <w:sz w:val="25"/>
          <w:szCs w:val="25"/>
        </w:rPr>
        <w:t xml:space="preserve"> .</w:t>
      </w:r>
      <w:proofErr w:type="gramEnd"/>
    </w:p>
    <w:p w:rsidR="005B25FE" w:rsidRPr="005174C4" w:rsidRDefault="00C1452E" w:rsidP="00D43C02">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t xml:space="preserve">7. </w:t>
      </w:r>
      <w:r w:rsidR="005B25FE" w:rsidRPr="005174C4">
        <w:rPr>
          <w:rFonts w:ascii="Times New Roman" w:hAnsi="Times New Roman" w:cs="Times New Roman"/>
          <w:sz w:val="25"/>
          <w:szCs w:val="25"/>
        </w:rPr>
        <w:t>Механизм предоставления бесплатных услуг дополнительного образования несовершеннолетним детям военнослужащих в муниципальных образовательных организациях определяется локальными актами таких организаций.</w:t>
      </w:r>
    </w:p>
    <w:p w:rsidR="00C1452E" w:rsidRPr="005174C4" w:rsidRDefault="006A58BA" w:rsidP="00D43C02">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t xml:space="preserve">8. Организация бесплатных услуг дополнительного образования несовершеннолетним детям военнослужащих </w:t>
      </w:r>
      <w:r w:rsidR="005B25FE" w:rsidRPr="005174C4">
        <w:rPr>
          <w:rFonts w:ascii="Times New Roman" w:hAnsi="Times New Roman" w:cs="Times New Roman"/>
          <w:sz w:val="25"/>
          <w:szCs w:val="25"/>
        </w:rPr>
        <w:t>обеспечивается муниципальными образовательными организациями за счет средств областного бюджета в рамках субсидии на иные цели «Предоставление бесплатных услуг дополнительного образования несовершеннолетним детям военнослужащего (далее – субсидия на иные цели).</w:t>
      </w:r>
    </w:p>
    <w:p w:rsidR="005B25FE" w:rsidRPr="005174C4" w:rsidRDefault="006A58BA" w:rsidP="00D43C02">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lastRenderedPageBreak/>
        <w:t>9</w:t>
      </w:r>
      <w:r w:rsidR="005B25FE" w:rsidRPr="005174C4">
        <w:rPr>
          <w:rFonts w:ascii="Times New Roman" w:hAnsi="Times New Roman" w:cs="Times New Roman"/>
          <w:sz w:val="25"/>
          <w:szCs w:val="25"/>
        </w:rPr>
        <w:t xml:space="preserve">. </w:t>
      </w:r>
      <w:r w:rsidRPr="005174C4">
        <w:rPr>
          <w:rFonts w:ascii="Times New Roman" w:hAnsi="Times New Roman" w:cs="Times New Roman"/>
          <w:sz w:val="25"/>
          <w:szCs w:val="25"/>
        </w:rPr>
        <w:t>Расчет субсидии на иные цели производится на основании заявки муниципальной образовательной организации на предоставление субсидии на иные цели (далее – заявка).</w:t>
      </w:r>
    </w:p>
    <w:p w:rsidR="006A58BA" w:rsidRPr="005174C4" w:rsidRDefault="006A58BA" w:rsidP="00D43C02">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t>Заявка составляется муниципальной образовательной организацией на основании удостоверений, представленных родителями (законными представителями) несовершеннолетних детей военнослужащих, по форме согласно приложению.</w:t>
      </w:r>
    </w:p>
    <w:p w:rsidR="006A58BA" w:rsidRPr="005174C4" w:rsidRDefault="006A58BA" w:rsidP="00D43C02">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t>Оплате за счет средств субсидии на иные цели подлежат следующие расходы, связанные с предоставление бесплатной услуги дополнительного образования:</w:t>
      </w:r>
    </w:p>
    <w:p w:rsidR="006A58BA" w:rsidRPr="005174C4" w:rsidRDefault="006A58BA" w:rsidP="00D43C02">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t>- заработная плата с начислениями работников, непосредственно связанных с предоставлением бесплатной услуги дополнительного образования;</w:t>
      </w:r>
    </w:p>
    <w:p w:rsidR="006A58BA" w:rsidRPr="005174C4" w:rsidRDefault="006A58BA" w:rsidP="00D43C02">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t>- учебные расходы, учтенные калькуляцией стоимости образовательной услуги, утвержденной муниципальной образовательной организацией.</w:t>
      </w:r>
    </w:p>
    <w:p w:rsidR="006A58BA" w:rsidRPr="005174C4" w:rsidRDefault="006A58BA" w:rsidP="00D43C02">
      <w:pPr>
        <w:spacing w:after="0" w:line="36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t>10. Ответственность за сведения, указанные в заявке, и организацию предоставления бесплатных услуг дополнительного образования несовершеннолетним детям военнослужащих возлагается на руководителей государственных образовательных организаций или должностных лиц, их замещающих.</w:t>
      </w:r>
    </w:p>
    <w:p w:rsidR="009A04D6" w:rsidRPr="005174C4" w:rsidRDefault="009A04D6" w:rsidP="009A04D6">
      <w:pPr>
        <w:spacing w:after="0" w:line="360" w:lineRule="auto"/>
        <w:ind w:firstLine="709"/>
        <w:jc w:val="center"/>
        <w:rPr>
          <w:rFonts w:ascii="Times New Roman" w:hAnsi="Times New Roman" w:cs="Times New Roman"/>
          <w:sz w:val="25"/>
          <w:szCs w:val="25"/>
        </w:rPr>
      </w:pPr>
      <w:r w:rsidRPr="005174C4">
        <w:rPr>
          <w:rFonts w:ascii="Times New Roman" w:hAnsi="Times New Roman" w:cs="Times New Roman"/>
          <w:sz w:val="25"/>
          <w:szCs w:val="25"/>
        </w:rPr>
        <w:t>___________________________</w:t>
      </w:r>
    </w:p>
    <w:p w:rsidR="00002ABA" w:rsidRPr="005174C4" w:rsidRDefault="00002ABA" w:rsidP="00002ABA">
      <w:pPr>
        <w:spacing w:after="0" w:line="240" w:lineRule="auto"/>
        <w:ind w:firstLine="709"/>
        <w:jc w:val="both"/>
        <w:rPr>
          <w:rFonts w:ascii="Times New Roman" w:hAnsi="Times New Roman" w:cs="Times New Roman"/>
          <w:sz w:val="25"/>
          <w:szCs w:val="25"/>
        </w:rPr>
      </w:pPr>
    </w:p>
    <w:p w:rsidR="006A58BA" w:rsidRPr="005174C4" w:rsidRDefault="006A58BA" w:rsidP="00002ABA">
      <w:pPr>
        <w:spacing w:after="0" w:line="240" w:lineRule="auto"/>
        <w:ind w:firstLine="709"/>
        <w:jc w:val="both"/>
        <w:rPr>
          <w:rFonts w:ascii="Times New Roman" w:hAnsi="Times New Roman" w:cs="Times New Roman"/>
          <w:sz w:val="25"/>
          <w:szCs w:val="25"/>
        </w:rPr>
      </w:pPr>
    </w:p>
    <w:p w:rsidR="006A58BA" w:rsidRPr="005174C4" w:rsidRDefault="006A58BA" w:rsidP="00002ABA">
      <w:pPr>
        <w:spacing w:after="0" w:line="240" w:lineRule="auto"/>
        <w:ind w:firstLine="709"/>
        <w:jc w:val="both"/>
        <w:rPr>
          <w:rFonts w:ascii="Times New Roman" w:hAnsi="Times New Roman" w:cs="Times New Roman"/>
          <w:sz w:val="25"/>
          <w:szCs w:val="25"/>
        </w:rPr>
      </w:pPr>
    </w:p>
    <w:p w:rsidR="006A58BA" w:rsidRPr="005174C4" w:rsidRDefault="001B70D3" w:rsidP="001B70D3">
      <w:pPr>
        <w:spacing w:after="0" w:line="240" w:lineRule="auto"/>
        <w:ind w:left="5670" w:firstLine="709"/>
        <w:jc w:val="both"/>
        <w:rPr>
          <w:rFonts w:ascii="Times New Roman" w:hAnsi="Times New Roman" w:cs="Times New Roman"/>
          <w:sz w:val="25"/>
          <w:szCs w:val="25"/>
        </w:rPr>
      </w:pPr>
      <w:r w:rsidRPr="005174C4">
        <w:rPr>
          <w:rFonts w:ascii="Times New Roman" w:hAnsi="Times New Roman" w:cs="Times New Roman"/>
          <w:sz w:val="25"/>
          <w:szCs w:val="25"/>
        </w:rPr>
        <w:t>Приложение</w:t>
      </w:r>
    </w:p>
    <w:p w:rsidR="001B70D3" w:rsidRPr="005174C4" w:rsidRDefault="001B70D3" w:rsidP="001B70D3">
      <w:pPr>
        <w:spacing w:after="0" w:line="240" w:lineRule="auto"/>
        <w:ind w:left="5670" w:firstLine="709"/>
        <w:jc w:val="both"/>
        <w:rPr>
          <w:rFonts w:ascii="Times New Roman" w:hAnsi="Times New Roman" w:cs="Times New Roman"/>
          <w:sz w:val="25"/>
          <w:szCs w:val="25"/>
        </w:rPr>
      </w:pPr>
      <w:r w:rsidRPr="005174C4">
        <w:rPr>
          <w:rFonts w:ascii="Times New Roman" w:hAnsi="Times New Roman" w:cs="Times New Roman"/>
          <w:sz w:val="25"/>
          <w:szCs w:val="25"/>
        </w:rPr>
        <w:t>к Порядку</w:t>
      </w:r>
    </w:p>
    <w:p w:rsidR="001B70D3" w:rsidRPr="005174C4" w:rsidRDefault="001B70D3" w:rsidP="00002ABA">
      <w:pPr>
        <w:spacing w:after="0" w:line="240" w:lineRule="auto"/>
        <w:ind w:firstLine="709"/>
        <w:jc w:val="both"/>
        <w:rPr>
          <w:rFonts w:ascii="Times New Roman" w:hAnsi="Times New Roman" w:cs="Times New Roman"/>
          <w:sz w:val="25"/>
          <w:szCs w:val="25"/>
        </w:rPr>
      </w:pPr>
    </w:p>
    <w:p w:rsidR="001B70D3" w:rsidRPr="005174C4" w:rsidRDefault="001B70D3" w:rsidP="00002ABA">
      <w:pPr>
        <w:spacing w:after="0" w:line="240" w:lineRule="auto"/>
        <w:ind w:firstLine="709"/>
        <w:jc w:val="both"/>
        <w:rPr>
          <w:rFonts w:ascii="Times New Roman" w:hAnsi="Times New Roman" w:cs="Times New Roman"/>
          <w:sz w:val="25"/>
          <w:szCs w:val="25"/>
        </w:rPr>
      </w:pPr>
    </w:p>
    <w:p w:rsidR="001B70D3" w:rsidRPr="005174C4" w:rsidRDefault="001B70D3" w:rsidP="001B70D3">
      <w:pPr>
        <w:spacing w:after="0" w:line="240" w:lineRule="auto"/>
        <w:ind w:firstLine="709"/>
        <w:jc w:val="center"/>
        <w:rPr>
          <w:rFonts w:ascii="Times New Roman" w:hAnsi="Times New Roman" w:cs="Times New Roman"/>
          <w:sz w:val="25"/>
          <w:szCs w:val="25"/>
        </w:rPr>
      </w:pPr>
      <w:r w:rsidRPr="005174C4">
        <w:rPr>
          <w:rFonts w:ascii="Times New Roman" w:hAnsi="Times New Roman" w:cs="Times New Roman"/>
          <w:sz w:val="25"/>
          <w:szCs w:val="25"/>
        </w:rPr>
        <w:t>Форма</w:t>
      </w:r>
    </w:p>
    <w:p w:rsidR="001B70D3" w:rsidRPr="005174C4" w:rsidRDefault="001B70D3" w:rsidP="001B70D3">
      <w:pPr>
        <w:spacing w:after="0" w:line="240" w:lineRule="auto"/>
        <w:ind w:firstLine="709"/>
        <w:jc w:val="center"/>
        <w:rPr>
          <w:rFonts w:ascii="Times New Roman" w:hAnsi="Times New Roman" w:cs="Times New Roman"/>
          <w:sz w:val="25"/>
          <w:szCs w:val="25"/>
        </w:rPr>
      </w:pPr>
      <w:r w:rsidRPr="005174C4">
        <w:rPr>
          <w:rFonts w:ascii="Times New Roman" w:hAnsi="Times New Roman" w:cs="Times New Roman"/>
          <w:sz w:val="25"/>
          <w:szCs w:val="25"/>
        </w:rPr>
        <w:t>Заявка государственной образовательной организации на предоставление субсидии на иные цели «Предоставление бесплатных услуг дополнительного образования несовершеннолетним детям военнослужащих»</w:t>
      </w:r>
    </w:p>
    <w:p w:rsidR="001B70D3" w:rsidRPr="005174C4" w:rsidRDefault="001B70D3" w:rsidP="00002ABA">
      <w:pPr>
        <w:spacing w:after="0" w:line="240" w:lineRule="auto"/>
        <w:ind w:firstLine="709"/>
        <w:jc w:val="both"/>
        <w:rPr>
          <w:rFonts w:ascii="Times New Roman" w:hAnsi="Times New Roman" w:cs="Times New Roman"/>
          <w:sz w:val="25"/>
          <w:szCs w:val="25"/>
        </w:rPr>
      </w:pPr>
      <w:r w:rsidRPr="005174C4">
        <w:rPr>
          <w:rFonts w:ascii="Times New Roman" w:hAnsi="Times New Roman" w:cs="Times New Roman"/>
          <w:sz w:val="25"/>
          <w:szCs w:val="25"/>
        </w:rPr>
        <w:t>_____________________________________________________________</w:t>
      </w:r>
    </w:p>
    <w:p w:rsidR="001B70D3" w:rsidRPr="005174C4" w:rsidRDefault="001B70D3" w:rsidP="001B70D3">
      <w:pPr>
        <w:spacing w:after="0" w:line="240" w:lineRule="auto"/>
        <w:ind w:firstLine="709"/>
        <w:jc w:val="center"/>
        <w:rPr>
          <w:rFonts w:ascii="Times New Roman" w:hAnsi="Times New Roman" w:cs="Times New Roman"/>
          <w:sz w:val="25"/>
          <w:szCs w:val="25"/>
        </w:rPr>
      </w:pPr>
      <w:r w:rsidRPr="005174C4">
        <w:rPr>
          <w:rFonts w:ascii="Times New Roman" w:hAnsi="Times New Roman" w:cs="Times New Roman"/>
          <w:sz w:val="25"/>
          <w:szCs w:val="25"/>
        </w:rPr>
        <w:t>(наименование муниципальной образовательной организации)</w:t>
      </w:r>
    </w:p>
    <w:tbl>
      <w:tblPr>
        <w:tblStyle w:val="a8"/>
        <w:tblW w:w="0" w:type="auto"/>
        <w:tblLook w:val="04A0" w:firstRow="1" w:lastRow="0" w:firstColumn="1" w:lastColumn="0" w:noHBand="0" w:noVBand="1"/>
      </w:tblPr>
      <w:tblGrid>
        <w:gridCol w:w="2422"/>
        <w:gridCol w:w="1248"/>
        <w:gridCol w:w="1546"/>
        <w:gridCol w:w="1392"/>
        <w:gridCol w:w="1804"/>
        <w:gridCol w:w="1159"/>
      </w:tblGrid>
      <w:tr w:rsidR="005174C4" w:rsidRPr="005174C4" w:rsidTr="0096601F">
        <w:tc>
          <w:tcPr>
            <w:tcW w:w="2471" w:type="dxa"/>
          </w:tcPr>
          <w:p w:rsidR="0096601F" w:rsidRPr="005174C4" w:rsidRDefault="0096601F" w:rsidP="001B70D3">
            <w:pPr>
              <w:jc w:val="center"/>
              <w:rPr>
                <w:rFonts w:ascii="Times New Roman" w:hAnsi="Times New Roman" w:cs="Times New Roman"/>
                <w:sz w:val="25"/>
                <w:szCs w:val="25"/>
              </w:rPr>
            </w:pPr>
            <w:r w:rsidRPr="005174C4">
              <w:rPr>
                <w:rFonts w:ascii="Times New Roman" w:hAnsi="Times New Roman" w:cs="Times New Roman"/>
                <w:sz w:val="25"/>
                <w:szCs w:val="25"/>
              </w:rPr>
              <w:t>Наименование дополнительной общеобразовательной общеразвивающей программы</w:t>
            </w:r>
          </w:p>
        </w:tc>
        <w:tc>
          <w:tcPr>
            <w:tcW w:w="1323" w:type="dxa"/>
          </w:tcPr>
          <w:p w:rsidR="0096601F" w:rsidRPr="005174C4" w:rsidRDefault="0096601F" w:rsidP="0096601F">
            <w:pPr>
              <w:ind w:left="-61" w:right="-92"/>
              <w:jc w:val="center"/>
              <w:rPr>
                <w:rFonts w:ascii="Times New Roman" w:hAnsi="Times New Roman" w:cs="Times New Roman"/>
                <w:sz w:val="25"/>
                <w:szCs w:val="25"/>
              </w:rPr>
            </w:pPr>
            <w:r w:rsidRPr="005174C4">
              <w:rPr>
                <w:rFonts w:ascii="Times New Roman" w:hAnsi="Times New Roman" w:cs="Times New Roman"/>
                <w:sz w:val="25"/>
                <w:szCs w:val="25"/>
              </w:rPr>
              <w:t>Количество детей</w:t>
            </w:r>
          </w:p>
        </w:tc>
        <w:tc>
          <w:tcPr>
            <w:tcW w:w="1582" w:type="dxa"/>
          </w:tcPr>
          <w:p w:rsidR="0096601F" w:rsidRPr="005174C4" w:rsidRDefault="0096601F" w:rsidP="001B70D3">
            <w:pPr>
              <w:jc w:val="center"/>
              <w:rPr>
                <w:rFonts w:ascii="Times New Roman" w:hAnsi="Times New Roman" w:cs="Times New Roman"/>
                <w:sz w:val="25"/>
                <w:szCs w:val="25"/>
              </w:rPr>
            </w:pPr>
            <w:r w:rsidRPr="005174C4">
              <w:rPr>
                <w:rFonts w:ascii="Times New Roman" w:hAnsi="Times New Roman" w:cs="Times New Roman"/>
                <w:sz w:val="25"/>
                <w:szCs w:val="25"/>
              </w:rPr>
              <w:t>Стоимость одного занятия (в соответствии с договором), рублей</w:t>
            </w:r>
          </w:p>
        </w:tc>
        <w:tc>
          <w:tcPr>
            <w:tcW w:w="1417" w:type="dxa"/>
          </w:tcPr>
          <w:p w:rsidR="0096601F" w:rsidRPr="005174C4" w:rsidRDefault="0096601F" w:rsidP="001B70D3">
            <w:pPr>
              <w:jc w:val="center"/>
              <w:rPr>
                <w:rFonts w:ascii="Times New Roman" w:hAnsi="Times New Roman" w:cs="Times New Roman"/>
                <w:sz w:val="25"/>
                <w:szCs w:val="25"/>
              </w:rPr>
            </w:pPr>
            <w:r w:rsidRPr="005174C4">
              <w:rPr>
                <w:rFonts w:ascii="Times New Roman" w:hAnsi="Times New Roman" w:cs="Times New Roman"/>
                <w:sz w:val="25"/>
                <w:szCs w:val="25"/>
              </w:rPr>
              <w:t>Количество занятий в месяц</w:t>
            </w:r>
          </w:p>
        </w:tc>
        <w:tc>
          <w:tcPr>
            <w:tcW w:w="1838" w:type="dxa"/>
          </w:tcPr>
          <w:p w:rsidR="0096601F" w:rsidRPr="005174C4" w:rsidRDefault="0096601F" w:rsidP="001B70D3">
            <w:pPr>
              <w:jc w:val="center"/>
              <w:rPr>
                <w:rFonts w:ascii="Times New Roman" w:hAnsi="Times New Roman" w:cs="Times New Roman"/>
                <w:sz w:val="25"/>
                <w:szCs w:val="25"/>
              </w:rPr>
            </w:pPr>
            <w:r w:rsidRPr="005174C4">
              <w:rPr>
                <w:rFonts w:ascii="Times New Roman" w:hAnsi="Times New Roman" w:cs="Times New Roman"/>
                <w:sz w:val="25"/>
                <w:szCs w:val="25"/>
              </w:rPr>
              <w:t>Период обучения в году предоставления  льготы, месяцев</w:t>
            </w:r>
          </w:p>
        </w:tc>
        <w:tc>
          <w:tcPr>
            <w:tcW w:w="718" w:type="dxa"/>
          </w:tcPr>
          <w:p w:rsidR="0096601F" w:rsidRPr="005174C4" w:rsidRDefault="0096601F" w:rsidP="001B70D3">
            <w:pPr>
              <w:jc w:val="center"/>
              <w:rPr>
                <w:rFonts w:ascii="Times New Roman" w:hAnsi="Times New Roman" w:cs="Times New Roman"/>
                <w:sz w:val="25"/>
                <w:szCs w:val="25"/>
              </w:rPr>
            </w:pPr>
            <w:r w:rsidRPr="005174C4">
              <w:rPr>
                <w:rFonts w:ascii="Times New Roman" w:hAnsi="Times New Roman" w:cs="Times New Roman"/>
                <w:sz w:val="25"/>
                <w:szCs w:val="25"/>
              </w:rPr>
              <w:t xml:space="preserve">Объем субсидии на иные цели, </w:t>
            </w:r>
            <w:proofErr w:type="spellStart"/>
            <w:r w:rsidRPr="005174C4">
              <w:rPr>
                <w:rFonts w:ascii="Times New Roman" w:hAnsi="Times New Roman" w:cs="Times New Roman"/>
                <w:sz w:val="25"/>
                <w:szCs w:val="25"/>
              </w:rPr>
              <w:t>тыс</w:t>
            </w:r>
            <w:proofErr w:type="gramStart"/>
            <w:r w:rsidRPr="005174C4">
              <w:rPr>
                <w:rFonts w:ascii="Times New Roman" w:hAnsi="Times New Roman" w:cs="Times New Roman"/>
                <w:sz w:val="25"/>
                <w:szCs w:val="25"/>
              </w:rPr>
              <w:t>.р</w:t>
            </w:r>
            <w:proofErr w:type="gramEnd"/>
            <w:r w:rsidRPr="005174C4">
              <w:rPr>
                <w:rFonts w:ascii="Times New Roman" w:hAnsi="Times New Roman" w:cs="Times New Roman"/>
                <w:sz w:val="25"/>
                <w:szCs w:val="25"/>
              </w:rPr>
              <w:t>уб</w:t>
            </w:r>
            <w:proofErr w:type="spellEnd"/>
            <w:r w:rsidRPr="005174C4">
              <w:rPr>
                <w:rFonts w:ascii="Times New Roman" w:hAnsi="Times New Roman" w:cs="Times New Roman"/>
                <w:sz w:val="25"/>
                <w:szCs w:val="25"/>
              </w:rPr>
              <w:t>.</w:t>
            </w:r>
          </w:p>
        </w:tc>
      </w:tr>
      <w:tr w:rsidR="005174C4" w:rsidRPr="005174C4" w:rsidTr="0096601F">
        <w:tc>
          <w:tcPr>
            <w:tcW w:w="2471" w:type="dxa"/>
          </w:tcPr>
          <w:p w:rsidR="0096601F" w:rsidRPr="005174C4" w:rsidRDefault="0096601F" w:rsidP="001B70D3">
            <w:pPr>
              <w:jc w:val="center"/>
              <w:rPr>
                <w:rFonts w:ascii="Times New Roman" w:hAnsi="Times New Roman" w:cs="Times New Roman"/>
                <w:sz w:val="25"/>
                <w:szCs w:val="25"/>
              </w:rPr>
            </w:pPr>
          </w:p>
        </w:tc>
        <w:tc>
          <w:tcPr>
            <w:tcW w:w="1323" w:type="dxa"/>
          </w:tcPr>
          <w:p w:rsidR="0096601F" w:rsidRPr="005174C4" w:rsidRDefault="0096601F" w:rsidP="001B70D3">
            <w:pPr>
              <w:jc w:val="center"/>
              <w:rPr>
                <w:rFonts w:ascii="Times New Roman" w:hAnsi="Times New Roman" w:cs="Times New Roman"/>
                <w:sz w:val="25"/>
                <w:szCs w:val="25"/>
              </w:rPr>
            </w:pPr>
          </w:p>
        </w:tc>
        <w:tc>
          <w:tcPr>
            <w:tcW w:w="1582" w:type="dxa"/>
          </w:tcPr>
          <w:p w:rsidR="0096601F" w:rsidRPr="005174C4" w:rsidRDefault="0096601F" w:rsidP="001B70D3">
            <w:pPr>
              <w:jc w:val="center"/>
              <w:rPr>
                <w:rFonts w:ascii="Times New Roman" w:hAnsi="Times New Roman" w:cs="Times New Roman"/>
                <w:sz w:val="25"/>
                <w:szCs w:val="25"/>
              </w:rPr>
            </w:pPr>
          </w:p>
        </w:tc>
        <w:tc>
          <w:tcPr>
            <w:tcW w:w="1417" w:type="dxa"/>
          </w:tcPr>
          <w:p w:rsidR="0096601F" w:rsidRPr="005174C4" w:rsidRDefault="0096601F" w:rsidP="001B70D3">
            <w:pPr>
              <w:jc w:val="center"/>
              <w:rPr>
                <w:rFonts w:ascii="Times New Roman" w:hAnsi="Times New Roman" w:cs="Times New Roman"/>
                <w:sz w:val="25"/>
                <w:szCs w:val="25"/>
              </w:rPr>
            </w:pPr>
          </w:p>
        </w:tc>
        <w:tc>
          <w:tcPr>
            <w:tcW w:w="1838" w:type="dxa"/>
          </w:tcPr>
          <w:p w:rsidR="0096601F" w:rsidRPr="005174C4" w:rsidRDefault="0096601F" w:rsidP="001B70D3">
            <w:pPr>
              <w:jc w:val="center"/>
              <w:rPr>
                <w:rFonts w:ascii="Times New Roman" w:hAnsi="Times New Roman" w:cs="Times New Roman"/>
                <w:sz w:val="25"/>
                <w:szCs w:val="25"/>
              </w:rPr>
            </w:pPr>
          </w:p>
        </w:tc>
        <w:tc>
          <w:tcPr>
            <w:tcW w:w="718" w:type="dxa"/>
          </w:tcPr>
          <w:p w:rsidR="0096601F" w:rsidRPr="005174C4" w:rsidRDefault="0096601F" w:rsidP="001B70D3">
            <w:pPr>
              <w:jc w:val="center"/>
              <w:rPr>
                <w:rFonts w:ascii="Times New Roman" w:hAnsi="Times New Roman" w:cs="Times New Roman"/>
                <w:sz w:val="25"/>
                <w:szCs w:val="25"/>
              </w:rPr>
            </w:pPr>
          </w:p>
        </w:tc>
      </w:tr>
      <w:tr w:rsidR="005174C4" w:rsidRPr="005174C4" w:rsidTr="0096601F">
        <w:tc>
          <w:tcPr>
            <w:tcW w:w="2471" w:type="dxa"/>
          </w:tcPr>
          <w:p w:rsidR="0096601F" w:rsidRPr="005174C4" w:rsidRDefault="0096601F" w:rsidP="001B70D3">
            <w:pPr>
              <w:jc w:val="center"/>
              <w:rPr>
                <w:rFonts w:ascii="Times New Roman" w:hAnsi="Times New Roman" w:cs="Times New Roman"/>
                <w:sz w:val="25"/>
                <w:szCs w:val="25"/>
              </w:rPr>
            </w:pPr>
          </w:p>
        </w:tc>
        <w:tc>
          <w:tcPr>
            <w:tcW w:w="1323" w:type="dxa"/>
          </w:tcPr>
          <w:p w:rsidR="0096601F" w:rsidRPr="005174C4" w:rsidRDefault="0096601F" w:rsidP="001B70D3">
            <w:pPr>
              <w:jc w:val="center"/>
              <w:rPr>
                <w:rFonts w:ascii="Times New Roman" w:hAnsi="Times New Roman" w:cs="Times New Roman"/>
                <w:sz w:val="25"/>
                <w:szCs w:val="25"/>
              </w:rPr>
            </w:pPr>
          </w:p>
        </w:tc>
        <w:tc>
          <w:tcPr>
            <w:tcW w:w="1582" w:type="dxa"/>
          </w:tcPr>
          <w:p w:rsidR="0096601F" w:rsidRPr="005174C4" w:rsidRDefault="0096601F" w:rsidP="001B70D3">
            <w:pPr>
              <w:jc w:val="center"/>
              <w:rPr>
                <w:rFonts w:ascii="Times New Roman" w:hAnsi="Times New Roman" w:cs="Times New Roman"/>
                <w:sz w:val="25"/>
                <w:szCs w:val="25"/>
              </w:rPr>
            </w:pPr>
          </w:p>
        </w:tc>
        <w:tc>
          <w:tcPr>
            <w:tcW w:w="1417" w:type="dxa"/>
          </w:tcPr>
          <w:p w:rsidR="0096601F" w:rsidRPr="005174C4" w:rsidRDefault="0096601F" w:rsidP="001B70D3">
            <w:pPr>
              <w:jc w:val="center"/>
              <w:rPr>
                <w:rFonts w:ascii="Times New Roman" w:hAnsi="Times New Roman" w:cs="Times New Roman"/>
                <w:sz w:val="25"/>
                <w:szCs w:val="25"/>
              </w:rPr>
            </w:pPr>
          </w:p>
        </w:tc>
        <w:tc>
          <w:tcPr>
            <w:tcW w:w="1838" w:type="dxa"/>
          </w:tcPr>
          <w:p w:rsidR="0096601F" w:rsidRPr="005174C4" w:rsidRDefault="0096601F" w:rsidP="001B70D3">
            <w:pPr>
              <w:jc w:val="center"/>
              <w:rPr>
                <w:rFonts w:ascii="Times New Roman" w:hAnsi="Times New Roman" w:cs="Times New Roman"/>
                <w:sz w:val="25"/>
                <w:szCs w:val="25"/>
              </w:rPr>
            </w:pPr>
          </w:p>
        </w:tc>
        <w:tc>
          <w:tcPr>
            <w:tcW w:w="718" w:type="dxa"/>
          </w:tcPr>
          <w:p w:rsidR="0096601F" w:rsidRPr="005174C4" w:rsidRDefault="0096601F" w:rsidP="001B70D3">
            <w:pPr>
              <w:jc w:val="center"/>
              <w:rPr>
                <w:rFonts w:ascii="Times New Roman" w:hAnsi="Times New Roman" w:cs="Times New Roman"/>
                <w:sz w:val="25"/>
                <w:szCs w:val="25"/>
              </w:rPr>
            </w:pPr>
          </w:p>
        </w:tc>
      </w:tr>
      <w:tr w:rsidR="005174C4" w:rsidRPr="005174C4" w:rsidTr="0096601F">
        <w:tc>
          <w:tcPr>
            <w:tcW w:w="2471" w:type="dxa"/>
          </w:tcPr>
          <w:p w:rsidR="0096601F" w:rsidRPr="005174C4" w:rsidRDefault="0096601F" w:rsidP="001B70D3">
            <w:pPr>
              <w:jc w:val="center"/>
              <w:rPr>
                <w:rFonts w:ascii="Times New Roman" w:hAnsi="Times New Roman" w:cs="Times New Roman"/>
                <w:sz w:val="25"/>
                <w:szCs w:val="25"/>
              </w:rPr>
            </w:pPr>
            <w:r w:rsidRPr="005174C4">
              <w:rPr>
                <w:rFonts w:ascii="Times New Roman" w:hAnsi="Times New Roman" w:cs="Times New Roman"/>
                <w:sz w:val="25"/>
                <w:szCs w:val="25"/>
              </w:rPr>
              <w:t>ИТОГО</w:t>
            </w:r>
          </w:p>
        </w:tc>
        <w:tc>
          <w:tcPr>
            <w:tcW w:w="1323" w:type="dxa"/>
          </w:tcPr>
          <w:p w:rsidR="0096601F" w:rsidRPr="005174C4" w:rsidRDefault="0096601F" w:rsidP="001B70D3">
            <w:pPr>
              <w:jc w:val="center"/>
              <w:rPr>
                <w:rFonts w:ascii="Times New Roman" w:hAnsi="Times New Roman" w:cs="Times New Roman"/>
                <w:sz w:val="25"/>
                <w:szCs w:val="25"/>
              </w:rPr>
            </w:pPr>
          </w:p>
        </w:tc>
        <w:tc>
          <w:tcPr>
            <w:tcW w:w="1582" w:type="dxa"/>
          </w:tcPr>
          <w:p w:rsidR="0096601F" w:rsidRPr="005174C4" w:rsidRDefault="0096601F" w:rsidP="001B70D3">
            <w:pPr>
              <w:jc w:val="center"/>
              <w:rPr>
                <w:rFonts w:ascii="Times New Roman" w:hAnsi="Times New Roman" w:cs="Times New Roman"/>
                <w:sz w:val="25"/>
                <w:szCs w:val="25"/>
              </w:rPr>
            </w:pPr>
          </w:p>
        </w:tc>
        <w:tc>
          <w:tcPr>
            <w:tcW w:w="1417" w:type="dxa"/>
          </w:tcPr>
          <w:p w:rsidR="0096601F" w:rsidRPr="005174C4" w:rsidRDefault="0096601F" w:rsidP="001B70D3">
            <w:pPr>
              <w:jc w:val="center"/>
              <w:rPr>
                <w:rFonts w:ascii="Times New Roman" w:hAnsi="Times New Roman" w:cs="Times New Roman"/>
                <w:sz w:val="25"/>
                <w:szCs w:val="25"/>
              </w:rPr>
            </w:pPr>
          </w:p>
        </w:tc>
        <w:tc>
          <w:tcPr>
            <w:tcW w:w="1838" w:type="dxa"/>
          </w:tcPr>
          <w:p w:rsidR="0096601F" w:rsidRPr="005174C4" w:rsidRDefault="0096601F" w:rsidP="001B70D3">
            <w:pPr>
              <w:jc w:val="center"/>
              <w:rPr>
                <w:rFonts w:ascii="Times New Roman" w:hAnsi="Times New Roman" w:cs="Times New Roman"/>
                <w:sz w:val="25"/>
                <w:szCs w:val="25"/>
              </w:rPr>
            </w:pPr>
          </w:p>
        </w:tc>
        <w:tc>
          <w:tcPr>
            <w:tcW w:w="718" w:type="dxa"/>
          </w:tcPr>
          <w:p w:rsidR="0096601F" w:rsidRPr="005174C4" w:rsidRDefault="0096601F" w:rsidP="001B70D3">
            <w:pPr>
              <w:jc w:val="center"/>
              <w:rPr>
                <w:rFonts w:ascii="Times New Roman" w:hAnsi="Times New Roman" w:cs="Times New Roman"/>
                <w:sz w:val="25"/>
                <w:szCs w:val="25"/>
              </w:rPr>
            </w:pPr>
          </w:p>
        </w:tc>
      </w:tr>
    </w:tbl>
    <w:p w:rsidR="0096601F" w:rsidRPr="005174C4" w:rsidRDefault="0096601F" w:rsidP="001B70D3">
      <w:pPr>
        <w:spacing w:after="0" w:line="240" w:lineRule="auto"/>
        <w:ind w:firstLine="709"/>
        <w:jc w:val="center"/>
        <w:rPr>
          <w:rFonts w:ascii="Times New Roman" w:hAnsi="Times New Roman" w:cs="Times New Roman"/>
          <w:sz w:val="25"/>
          <w:szCs w:val="25"/>
        </w:rPr>
      </w:pPr>
      <w:r w:rsidRPr="005174C4">
        <w:rPr>
          <w:rFonts w:ascii="Times New Roman" w:hAnsi="Times New Roman" w:cs="Times New Roman"/>
          <w:sz w:val="25"/>
          <w:szCs w:val="25"/>
        </w:rPr>
        <w:t>__________________________________</w:t>
      </w:r>
    </w:p>
    <w:sectPr w:rsidR="0096601F" w:rsidRPr="005174C4" w:rsidSect="005174C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C2714"/>
    <w:multiLevelType w:val="multilevel"/>
    <w:tmpl w:val="D9D66FBE"/>
    <w:lvl w:ilvl="0">
      <w:start w:val="1"/>
      <w:numFmt w:val="decimal"/>
      <w:lvlText w:val="%1."/>
      <w:lvlJc w:val="left"/>
      <w:pPr>
        <w:ind w:left="1455" w:hanging="91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20"/>
    <w:rsid w:val="00002ABA"/>
    <w:rsid w:val="00032401"/>
    <w:rsid w:val="00056892"/>
    <w:rsid w:val="000E11AB"/>
    <w:rsid w:val="00185A4D"/>
    <w:rsid w:val="001B70D3"/>
    <w:rsid w:val="00335045"/>
    <w:rsid w:val="003A2353"/>
    <w:rsid w:val="005174C4"/>
    <w:rsid w:val="00546EEC"/>
    <w:rsid w:val="005B25FE"/>
    <w:rsid w:val="005C4D82"/>
    <w:rsid w:val="005D4F04"/>
    <w:rsid w:val="00600E9C"/>
    <w:rsid w:val="00634706"/>
    <w:rsid w:val="00680629"/>
    <w:rsid w:val="00684037"/>
    <w:rsid w:val="006A58BA"/>
    <w:rsid w:val="007A5298"/>
    <w:rsid w:val="0080649B"/>
    <w:rsid w:val="0085018D"/>
    <w:rsid w:val="008962E1"/>
    <w:rsid w:val="0092498F"/>
    <w:rsid w:val="0096601F"/>
    <w:rsid w:val="0097066E"/>
    <w:rsid w:val="00995F20"/>
    <w:rsid w:val="009A04D6"/>
    <w:rsid w:val="00A56474"/>
    <w:rsid w:val="00A76869"/>
    <w:rsid w:val="00AC7EC1"/>
    <w:rsid w:val="00C1452E"/>
    <w:rsid w:val="00C631F9"/>
    <w:rsid w:val="00C82DFF"/>
    <w:rsid w:val="00D43C02"/>
    <w:rsid w:val="00D5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F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F20"/>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995F20"/>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995F20"/>
    <w:rPr>
      <w:rFonts w:ascii="Times New Roman" w:eastAsia="Times New Roman" w:hAnsi="Times New Roman" w:cs="Times New Roman"/>
      <w:sz w:val="28"/>
      <w:szCs w:val="24"/>
      <w:lang w:eastAsia="ru-RU"/>
    </w:rPr>
  </w:style>
  <w:style w:type="paragraph" w:customStyle="1" w:styleId="a5">
    <w:name w:val="Заголовок"/>
    <w:basedOn w:val="a"/>
    <w:next w:val="a3"/>
    <w:rsid w:val="00995F20"/>
    <w:pPr>
      <w:keepNext/>
      <w:suppressAutoHyphens/>
      <w:spacing w:before="240" w:after="120" w:line="240" w:lineRule="auto"/>
    </w:pPr>
    <w:rPr>
      <w:rFonts w:ascii="Arial" w:eastAsia="Lucida Sans Unicode" w:hAnsi="Arial" w:cs="Tahoma"/>
      <w:sz w:val="28"/>
      <w:szCs w:val="28"/>
      <w:lang w:eastAsia="ar-SA"/>
    </w:rPr>
  </w:style>
  <w:style w:type="paragraph" w:styleId="a6">
    <w:name w:val="Balloon Text"/>
    <w:basedOn w:val="a"/>
    <w:link w:val="a7"/>
    <w:uiPriority w:val="99"/>
    <w:semiHidden/>
    <w:unhideWhenUsed/>
    <w:rsid w:val="00995F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5F20"/>
    <w:rPr>
      <w:rFonts w:ascii="Tahoma" w:hAnsi="Tahoma" w:cs="Tahoma"/>
      <w:sz w:val="16"/>
      <w:szCs w:val="16"/>
    </w:rPr>
  </w:style>
  <w:style w:type="table" w:styleId="a8">
    <w:name w:val="Table Grid"/>
    <w:basedOn w:val="a1"/>
    <w:uiPriority w:val="59"/>
    <w:rsid w:val="00966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F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F20"/>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995F20"/>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995F20"/>
    <w:rPr>
      <w:rFonts w:ascii="Times New Roman" w:eastAsia="Times New Roman" w:hAnsi="Times New Roman" w:cs="Times New Roman"/>
      <w:sz w:val="28"/>
      <w:szCs w:val="24"/>
      <w:lang w:eastAsia="ru-RU"/>
    </w:rPr>
  </w:style>
  <w:style w:type="paragraph" w:customStyle="1" w:styleId="a5">
    <w:name w:val="Заголовок"/>
    <w:basedOn w:val="a"/>
    <w:next w:val="a3"/>
    <w:rsid w:val="00995F20"/>
    <w:pPr>
      <w:keepNext/>
      <w:suppressAutoHyphens/>
      <w:spacing w:before="240" w:after="120" w:line="240" w:lineRule="auto"/>
    </w:pPr>
    <w:rPr>
      <w:rFonts w:ascii="Arial" w:eastAsia="Lucida Sans Unicode" w:hAnsi="Arial" w:cs="Tahoma"/>
      <w:sz w:val="28"/>
      <w:szCs w:val="28"/>
      <w:lang w:eastAsia="ar-SA"/>
    </w:rPr>
  </w:style>
  <w:style w:type="paragraph" w:styleId="a6">
    <w:name w:val="Balloon Text"/>
    <w:basedOn w:val="a"/>
    <w:link w:val="a7"/>
    <w:uiPriority w:val="99"/>
    <w:semiHidden/>
    <w:unhideWhenUsed/>
    <w:rsid w:val="00995F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5F20"/>
    <w:rPr>
      <w:rFonts w:ascii="Tahoma" w:hAnsi="Tahoma" w:cs="Tahoma"/>
      <w:sz w:val="16"/>
      <w:szCs w:val="16"/>
    </w:rPr>
  </w:style>
  <w:style w:type="table" w:styleId="a8">
    <w:name w:val="Table Grid"/>
    <w:basedOn w:val="a1"/>
    <w:uiPriority w:val="59"/>
    <w:rsid w:val="00966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15</cp:revision>
  <cp:lastPrinted>2022-11-25T12:00:00Z</cp:lastPrinted>
  <dcterms:created xsi:type="dcterms:W3CDTF">2022-11-15T11:30:00Z</dcterms:created>
  <dcterms:modified xsi:type="dcterms:W3CDTF">2022-11-30T08:15:00Z</dcterms:modified>
</cp:coreProperties>
</file>